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939" w:rsidRPr="00146939" w:rsidRDefault="00146939" w:rsidP="00146939">
      <w:pPr>
        <w:jc w:val="center"/>
        <w:rPr>
          <w:rFonts w:eastAsia="Times New Roman"/>
          <w:b/>
          <w:smallCaps/>
          <w:sz w:val="48"/>
          <w:szCs w:val="48"/>
        </w:rPr>
      </w:pPr>
      <w:bookmarkStart w:id="0" w:name="_GoBack"/>
      <w:bookmarkEnd w:id="0"/>
      <w:r w:rsidRPr="00146939">
        <w:rPr>
          <w:rFonts w:eastAsia="Times New Roman"/>
          <w:b/>
          <w:smallCaps/>
          <w:sz w:val="48"/>
          <w:szCs w:val="48"/>
        </w:rPr>
        <w:t>MUNICIPAL LIABILITY UPDATE</w:t>
      </w:r>
    </w:p>
    <w:p w:rsidR="00146939" w:rsidRPr="00146939" w:rsidRDefault="00146939" w:rsidP="00146939">
      <w:pPr>
        <w:jc w:val="center"/>
        <w:rPr>
          <w:rFonts w:eastAsia="Times New Roman"/>
          <w:b/>
          <w:smallCaps/>
          <w:sz w:val="48"/>
          <w:szCs w:val="48"/>
        </w:rPr>
      </w:pPr>
    </w:p>
    <w:p w:rsidR="00146939" w:rsidRPr="00146939" w:rsidRDefault="00146939" w:rsidP="00146939">
      <w:pPr>
        <w:ind w:firstLine="720"/>
        <w:jc w:val="center"/>
        <w:rPr>
          <w:rFonts w:eastAsia="Times New Roman"/>
          <w:b/>
          <w:smallCaps/>
          <w:sz w:val="48"/>
          <w:szCs w:val="48"/>
        </w:rPr>
      </w:pPr>
    </w:p>
    <w:p w:rsidR="00146939" w:rsidRPr="00146939" w:rsidRDefault="00146939" w:rsidP="00146939">
      <w:pPr>
        <w:jc w:val="center"/>
        <w:rPr>
          <w:rFonts w:eastAsia="Times New Roman"/>
          <w:b/>
          <w:smallCaps/>
          <w:sz w:val="48"/>
          <w:szCs w:val="48"/>
        </w:rPr>
      </w:pPr>
      <w:r w:rsidRPr="00146939">
        <w:rPr>
          <w:rFonts w:eastAsia="Times New Roman"/>
          <w:b/>
          <w:smallCaps/>
          <w:sz w:val="48"/>
          <w:szCs w:val="48"/>
        </w:rPr>
        <w:t>CONNECTICUT PUBLIC RISK AND INSURANCE MANAGER’S ASSOCIATION</w:t>
      </w:r>
    </w:p>
    <w:p w:rsidR="00146939" w:rsidRPr="00146939" w:rsidRDefault="00146939" w:rsidP="00146939">
      <w:pPr>
        <w:jc w:val="center"/>
        <w:rPr>
          <w:rFonts w:eastAsia="Times New Roman"/>
          <w:b/>
          <w:smallCaps/>
          <w:sz w:val="48"/>
          <w:szCs w:val="48"/>
        </w:rPr>
      </w:pPr>
    </w:p>
    <w:p w:rsidR="00146939" w:rsidRPr="00146939" w:rsidRDefault="00146939" w:rsidP="00146939">
      <w:pPr>
        <w:jc w:val="center"/>
        <w:rPr>
          <w:rFonts w:eastAsia="Times New Roman"/>
          <w:b/>
          <w:smallCaps/>
          <w:sz w:val="40"/>
          <w:szCs w:val="40"/>
        </w:rPr>
      </w:pPr>
      <w:r>
        <w:rPr>
          <w:rFonts w:eastAsia="Times New Roman"/>
          <w:b/>
          <w:smallCaps/>
          <w:sz w:val="40"/>
          <w:szCs w:val="40"/>
        </w:rPr>
        <w:t>JUNE 15, 2016</w:t>
      </w:r>
    </w:p>
    <w:p w:rsidR="00146939" w:rsidRPr="00146939" w:rsidRDefault="00146939" w:rsidP="00146939">
      <w:pPr>
        <w:jc w:val="center"/>
        <w:rPr>
          <w:rFonts w:eastAsia="Times New Roman"/>
          <w:b/>
          <w:smallCaps/>
          <w:sz w:val="40"/>
          <w:szCs w:val="40"/>
        </w:rPr>
      </w:pPr>
    </w:p>
    <w:p w:rsidR="00146939" w:rsidRPr="00146939" w:rsidRDefault="00146939" w:rsidP="00146939">
      <w:pPr>
        <w:jc w:val="center"/>
        <w:rPr>
          <w:rFonts w:ascii="Verdana" w:eastAsia="Times New Roman" w:hAnsi="Verdana"/>
          <w:b/>
          <w:smallCaps/>
        </w:rPr>
      </w:pPr>
    </w:p>
    <w:p w:rsidR="00146939" w:rsidRPr="00146939" w:rsidRDefault="00146939" w:rsidP="00146939">
      <w:pPr>
        <w:jc w:val="center"/>
        <w:rPr>
          <w:rFonts w:ascii="Verdana" w:eastAsia="Times New Roman" w:hAnsi="Verdana"/>
          <w:b/>
          <w:smallCaps/>
        </w:rPr>
      </w:pPr>
      <w:r w:rsidRPr="00146939">
        <w:rPr>
          <w:rFonts w:ascii="Verdana" w:eastAsia="Times New Roman" w:hAnsi="Verdana"/>
          <w:b/>
          <w:smallCaps/>
          <w:noProof/>
        </w:rPr>
        <w:drawing>
          <wp:inline distT="0" distB="0" distL="0" distR="0" wp14:anchorId="4F2CCDC1" wp14:editId="04DE4E04">
            <wp:extent cx="4257675" cy="3133725"/>
            <wp:effectExtent l="0" t="0" r="9525"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57675" cy="3133725"/>
                    </a:xfrm>
                    <a:prstGeom prst="rect">
                      <a:avLst/>
                    </a:prstGeom>
                    <a:noFill/>
                    <a:ln>
                      <a:noFill/>
                    </a:ln>
                  </pic:spPr>
                </pic:pic>
              </a:graphicData>
            </a:graphic>
          </wp:inline>
        </w:drawing>
      </w:r>
    </w:p>
    <w:p w:rsidR="00146939" w:rsidRPr="00146939" w:rsidRDefault="00146939" w:rsidP="00146939">
      <w:pPr>
        <w:jc w:val="center"/>
        <w:rPr>
          <w:rFonts w:ascii="Verdana" w:eastAsia="Times New Roman" w:hAnsi="Verdana"/>
          <w:b/>
          <w:smallCaps/>
        </w:rPr>
      </w:pPr>
    </w:p>
    <w:p w:rsidR="00146939" w:rsidRPr="00146939" w:rsidRDefault="00146939" w:rsidP="00146939">
      <w:pPr>
        <w:keepNext/>
        <w:jc w:val="center"/>
        <w:outlineLvl w:val="1"/>
        <w:rPr>
          <w:rFonts w:ascii="Verdana" w:eastAsia="Times New Roman" w:hAnsi="Verdana"/>
          <w:b/>
          <w:i/>
          <w:iCs/>
        </w:rPr>
      </w:pPr>
    </w:p>
    <w:p w:rsidR="00146939" w:rsidRPr="00146939" w:rsidRDefault="00146939" w:rsidP="00146939">
      <w:pPr>
        <w:keepNext/>
        <w:jc w:val="center"/>
        <w:outlineLvl w:val="1"/>
        <w:rPr>
          <w:rFonts w:ascii="Verdana" w:eastAsia="Times New Roman" w:hAnsi="Verdana"/>
          <w:b/>
          <w:i/>
          <w:iCs/>
        </w:rPr>
      </w:pPr>
    </w:p>
    <w:p w:rsidR="00146939" w:rsidRPr="00146939" w:rsidRDefault="00146939" w:rsidP="00146939">
      <w:pPr>
        <w:keepNext/>
        <w:jc w:val="center"/>
        <w:outlineLvl w:val="1"/>
        <w:rPr>
          <w:rFonts w:ascii="Verdana" w:eastAsia="Times New Roman" w:hAnsi="Verdana"/>
          <w:b/>
          <w:i/>
          <w:iCs/>
        </w:rPr>
      </w:pPr>
    </w:p>
    <w:p w:rsidR="00146939" w:rsidRPr="00146939" w:rsidRDefault="00146939" w:rsidP="00146939">
      <w:pPr>
        <w:keepNext/>
        <w:jc w:val="center"/>
        <w:outlineLvl w:val="1"/>
        <w:rPr>
          <w:rFonts w:ascii="Verdana" w:eastAsia="Times New Roman" w:hAnsi="Verdana"/>
          <w:b/>
          <w:i/>
          <w:iCs/>
        </w:rPr>
      </w:pPr>
    </w:p>
    <w:p w:rsidR="00146939" w:rsidRPr="00146939" w:rsidRDefault="00146939" w:rsidP="00146939">
      <w:pPr>
        <w:keepNext/>
        <w:jc w:val="center"/>
        <w:outlineLvl w:val="1"/>
        <w:rPr>
          <w:rFonts w:ascii="Verdana" w:eastAsia="Times New Roman" w:hAnsi="Verdana"/>
          <w:b/>
          <w:i/>
          <w:iCs/>
        </w:rPr>
      </w:pPr>
      <w:r w:rsidRPr="00146939">
        <w:rPr>
          <w:rFonts w:ascii="Verdana" w:eastAsia="Times New Roman" w:hAnsi="Verdana"/>
          <w:b/>
          <w:i/>
          <w:iCs/>
        </w:rPr>
        <w:t>65 Wethersfield Avenue</w:t>
      </w:r>
    </w:p>
    <w:p w:rsidR="00146939" w:rsidRPr="00146939" w:rsidRDefault="00146939" w:rsidP="00146939">
      <w:pPr>
        <w:jc w:val="center"/>
        <w:rPr>
          <w:rFonts w:ascii="Verdana" w:eastAsia="Times New Roman" w:hAnsi="Verdana"/>
          <w:b/>
          <w:i/>
          <w:iCs/>
        </w:rPr>
      </w:pPr>
      <w:r w:rsidRPr="00146939">
        <w:rPr>
          <w:rFonts w:ascii="Verdana" w:eastAsia="Times New Roman" w:hAnsi="Verdana"/>
          <w:b/>
          <w:i/>
          <w:iCs/>
        </w:rPr>
        <w:t>Hartford, Connecticut 06114-1190</w:t>
      </w:r>
    </w:p>
    <w:p w:rsidR="00146939" w:rsidRPr="00146939" w:rsidRDefault="00146939" w:rsidP="00146939">
      <w:pPr>
        <w:jc w:val="center"/>
        <w:rPr>
          <w:rFonts w:ascii="Verdana" w:eastAsia="Times New Roman" w:hAnsi="Verdana"/>
          <w:b/>
          <w:i/>
          <w:iCs/>
        </w:rPr>
      </w:pPr>
      <w:r w:rsidRPr="00146939">
        <w:rPr>
          <w:rFonts w:ascii="Verdana" w:eastAsia="Times New Roman" w:hAnsi="Verdana"/>
          <w:b/>
          <w:i/>
          <w:iCs/>
        </w:rPr>
        <w:t>Telephone:  (860) 249-1361</w:t>
      </w:r>
    </w:p>
    <w:p w:rsidR="00146939" w:rsidRPr="00146939" w:rsidRDefault="00146939" w:rsidP="00146939">
      <w:pPr>
        <w:jc w:val="center"/>
        <w:rPr>
          <w:rFonts w:ascii="Verdana" w:eastAsia="Times New Roman" w:hAnsi="Verdana"/>
          <w:b/>
          <w:i/>
          <w:iCs/>
        </w:rPr>
      </w:pPr>
      <w:r w:rsidRPr="00146939">
        <w:rPr>
          <w:rFonts w:ascii="Verdana" w:eastAsia="Times New Roman" w:hAnsi="Verdana"/>
          <w:b/>
          <w:i/>
          <w:iCs/>
        </w:rPr>
        <w:t>FAX:  (860) 249-7665</w:t>
      </w:r>
    </w:p>
    <w:p w:rsidR="00146939" w:rsidRPr="00146939" w:rsidRDefault="00146939" w:rsidP="00146939">
      <w:pPr>
        <w:widowControl w:val="0"/>
        <w:tabs>
          <w:tab w:val="left" w:pos="1296"/>
          <w:tab w:val="left" w:pos="2160"/>
          <w:tab w:val="left" w:pos="2880"/>
          <w:tab w:val="left" w:pos="3600"/>
          <w:tab w:val="left" w:pos="4320"/>
          <w:tab w:val="left" w:pos="5040"/>
          <w:tab w:val="center" w:pos="9936"/>
          <w:tab w:val="left" w:pos="11520"/>
        </w:tabs>
        <w:autoSpaceDE w:val="0"/>
        <w:autoSpaceDN w:val="0"/>
        <w:adjustRightInd w:val="0"/>
        <w:jc w:val="center"/>
        <w:rPr>
          <w:rFonts w:ascii="Verdana" w:eastAsia="Times New Roman" w:hAnsi="Verdana"/>
          <w:b/>
          <w:i/>
          <w:iCs/>
        </w:rPr>
      </w:pPr>
      <w:r w:rsidRPr="00146939">
        <w:rPr>
          <w:rFonts w:ascii="Verdana" w:eastAsia="Times New Roman" w:hAnsi="Verdana"/>
          <w:b/>
          <w:i/>
          <w:iCs/>
        </w:rPr>
        <w:t xml:space="preserve">E-mail:  </w:t>
      </w:r>
      <w:hyperlink r:id="rId6" w:history="1">
        <w:r w:rsidRPr="00146939">
          <w:rPr>
            <w:rFonts w:ascii="Verdana" w:eastAsia="Times New Roman" w:hAnsi="Verdana"/>
            <w:b/>
            <w:i/>
            <w:iCs/>
            <w:color w:val="0000FF"/>
            <w:u w:val="single"/>
          </w:rPr>
          <w:t>tgerarde@hl-law.com</w:t>
        </w:r>
      </w:hyperlink>
    </w:p>
    <w:p w:rsidR="00DA61AC" w:rsidRDefault="00F465BF" w:rsidP="00F465BF">
      <w:pPr>
        <w:rPr>
          <w:rFonts w:ascii="Arial" w:eastAsia="Times New Roman" w:hAnsi="Arial" w:cs="Arial"/>
        </w:rPr>
      </w:pPr>
      <w:r w:rsidRPr="00F465BF">
        <w:rPr>
          <w:rFonts w:ascii="Arial" w:eastAsia="Times New Roman" w:hAnsi="Arial" w:cs="Arial"/>
        </w:rPr>
        <w:lastRenderedPageBreak/>
        <w:br/>
      </w:r>
      <w:proofErr w:type="spellStart"/>
      <w:r w:rsidRPr="00E22B79">
        <w:rPr>
          <w:rFonts w:ascii="Arial" w:eastAsia="Times New Roman" w:hAnsi="Arial" w:cs="Arial"/>
          <w:b/>
          <w:u w:val="single"/>
        </w:rPr>
        <w:t>Mccarroll</w:t>
      </w:r>
      <w:proofErr w:type="spellEnd"/>
      <w:r w:rsidRPr="00E22B79">
        <w:rPr>
          <w:rFonts w:ascii="Arial" w:eastAsia="Times New Roman" w:hAnsi="Arial" w:cs="Arial"/>
          <w:b/>
          <w:u w:val="single"/>
        </w:rPr>
        <w:t xml:space="preserve"> v East Haven</w:t>
      </w:r>
      <w:r w:rsidRPr="00DA61AC">
        <w:rPr>
          <w:rFonts w:ascii="Arial" w:eastAsia="Times New Roman" w:hAnsi="Arial" w:cs="Arial"/>
          <w:b/>
        </w:rPr>
        <w:t>, 2016WL3027076 (5/9/16)</w:t>
      </w:r>
    </w:p>
    <w:p w:rsidR="00F465BF" w:rsidRPr="00F465BF" w:rsidRDefault="00F465BF" w:rsidP="00F465BF">
      <w:pPr>
        <w:rPr>
          <w:rFonts w:ascii="Arial" w:eastAsia="Times New Roman" w:hAnsi="Arial" w:cs="Arial"/>
        </w:rPr>
      </w:pPr>
      <w:r w:rsidRPr="00F465BF">
        <w:rPr>
          <w:rFonts w:ascii="Arial" w:eastAsia="Times New Roman" w:hAnsi="Arial" w:cs="Arial"/>
        </w:rPr>
        <w:br/>
      </w:r>
      <w:r w:rsidR="00DA61AC">
        <w:rPr>
          <w:rFonts w:ascii="Arial" w:eastAsia="Times New Roman" w:hAnsi="Arial" w:cs="Arial"/>
        </w:rPr>
        <w:t>--</w:t>
      </w:r>
      <w:r w:rsidRPr="00F465BF">
        <w:rPr>
          <w:rFonts w:ascii="Arial" w:eastAsia="Times New Roman" w:hAnsi="Arial" w:cs="Arial"/>
        </w:rPr>
        <w:t xml:space="preserve">Plaintiff was a kindergarten student who was injured while playing on a wooden play scape that was in disrepair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w:t>
      </w:r>
      <w:proofErr w:type="gramStart"/>
      <w:r>
        <w:rPr>
          <w:rFonts w:ascii="Arial" w:eastAsia="Times New Roman" w:hAnsi="Arial" w:cs="Arial"/>
        </w:rPr>
        <w:t>plaintiff</w:t>
      </w:r>
      <w:proofErr w:type="gramEnd"/>
      <w:r w:rsidRPr="00F465BF">
        <w:rPr>
          <w:rFonts w:ascii="Arial" w:eastAsia="Times New Roman" w:hAnsi="Arial" w:cs="Arial"/>
        </w:rPr>
        <w:t xml:space="preserve"> sued for negligence and the </w:t>
      </w:r>
      <w:r w:rsidR="00FF4A96">
        <w:rPr>
          <w:rFonts w:ascii="Arial" w:eastAsia="Times New Roman" w:hAnsi="Arial" w:cs="Arial"/>
        </w:rPr>
        <w:t>T</w:t>
      </w:r>
      <w:r w:rsidRPr="00F465BF">
        <w:rPr>
          <w:rFonts w:ascii="Arial" w:eastAsia="Times New Roman" w:hAnsi="Arial" w:cs="Arial"/>
        </w:rPr>
        <w:t xml:space="preserve">own of East Haven filed for summary judgment based on governmental immunity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w:t>
      </w:r>
      <w:proofErr w:type="gramStart"/>
      <w:r w:rsidRPr="00F465BF">
        <w:rPr>
          <w:rFonts w:ascii="Arial" w:eastAsia="Times New Roman" w:hAnsi="Arial" w:cs="Arial"/>
        </w:rPr>
        <w:t>the</w:t>
      </w:r>
      <w:proofErr w:type="gramEnd"/>
      <w:r w:rsidRPr="00F465BF">
        <w:rPr>
          <w:rFonts w:ascii="Arial" w:eastAsia="Times New Roman" w:hAnsi="Arial" w:cs="Arial"/>
        </w:rPr>
        <w:t xml:space="preserve"> court found that the inspection and maintenance of a municipal play scape involves judgment and discretion </w:t>
      </w:r>
    </w:p>
    <w:p w:rsidR="00F465BF" w:rsidRPr="00F465BF" w:rsidRDefault="00FF4A96" w:rsidP="00F465BF">
      <w:pPr>
        <w:rPr>
          <w:rFonts w:ascii="Arial" w:eastAsia="Times New Roman" w:hAnsi="Arial" w:cs="Arial"/>
        </w:rPr>
      </w:pPr>
      <w:r>
        <w:rPr>
          <w:rFonts w:ascii="Arial" w:eastAsia="Times New Roman" w:hAnsi="Arial" w:cs="Arial"/>
        </w:rPr>
        <w:t xml:space="preserve">– </w:t>
      </w:r>
      <w:proofErr w:type="gramStart"/>
      <w:r>
        <w:rPr>
          <w:rFonts w:ascii="Arial" w:eastAsia="Times New Roman" w:hAnsi="Arial" w:cs="Arial"/>
        </w:rPr>
        <w:t>plaintiff</w:t>
      </w:r>
      <w:proofErr w:type="gramEnd"/>
      <w:r>
        <w:rPr>
          <w:rFonts w:ascii="Arial" w:eastAsia="Times New Roman" w:hAnsi="Arial" w:cs="Arial"/>
        </w:rPr>
        <w:t xml:space="preserve"> sought to eliminate</w:t>
      </w:r>
      <w:r w:rsidR="00F465BF" w:rsidRPr="00F465BF">
        <w:rPr>
          <w:rFonts w:ascii="Arial" w:eastAsia="Times New Roman" w:hAnsi="Arial" w:cs="Arial"/>
        </w:rPr>
        <w:t xml:space="preserve"> discretion by pointing to a </w:t>
      </w:r>
      <w:r>
        <w:rPr>
          <w:rFonts w:ascii="Arial" w:eastAsia="Times New Roman" w:hAnsi="Arial" w:cs="Arial"/>
        </w:rPr>
        <w:t xml:space="preserve">State statute that indicates "an </w:t>
      </w:r>
      <w:r w:rsidR="00F465BF" w:rsidRPr="00F465BF">
        <w:rPr>
          <w:rFonts w:ascii="Arial" w:eastAsia="Times New Roman" w:hAnsi="Arial" w:cs="Arial"/>
        </w:rPr>
        <w:t xml:space="preserve">appropriate learning environment shall be provided to students, which includes the proper maintenance of facilities." – The court held that this did not eliminate the </w:t>
      </w:r>
      <w:r>
        <w:rPr>
          <w:rFonts w:ascii="Arial" w:eastAsia="Times New Roman" w:hAnsi="Arial" w:cs="Arial"/>
        </w:rPr>
        <w:t>municipality’s</w:t>
      </w:r>
      <w:r w:rsidR="00F465BF" w:rsidRPr="00F465BF">
        <w:rPr>
          <w:rFonts w:ascii="Arial" w:eastAsia="Times New Roman" w:hAnsi="Arial" w:cs="Arial"/>
        </w:rPr>
        <w:t xml:space="preserve"> discretion,</w:t>
      </w:r>
      <w:r>
        <w:rPr>
          <w:rFonts w:ascii="Arial" w:eastAsia="Times New Roman" w:hAnsi="Arial" w:cs="Arial"/>
        </w:rPr>
        <w:t xml:space="preserve"> because it did not pre</w:t>
      </w:r>
      <w:r w:rsidR="00F465BF" w:rsidRPr="00F465BF">
        <w:rPr>
          <w:rFonts w:ascii="Arial" w:eastAsia="Times New Roman" w:hAnsi="Arial" w:cs="Arial"/>
        </w:rPr>
        <w:t>scribe a specific manner in which the maintenance must be done</w:t>
      </w:r>
    </w:p>
    <w:p w:rsidR="00F465BF" w:rsidRPr="00F465BF" w:rsidRDefault="00F465BF" w:rsidP="00F465BF">
      <w:pPr>
        <w:rPr>
          <w:rFonts w:ascii="Arial" w:eastAsia="Times New Roman" w:hAnsi="Arial" w:cs="Arial"/>
        </w:rPr>
      </w:pPr>
      <w:r w:rsidRPr="00F465BF">
        <w:rPr>
          <w:rFonts w:ascii="Arial" w:eastAsia="Times New Roman" w:hAnsi="Arial" w:cs="Arial"/>
          <w:color w:val="000000"/>
        </w:rPr>
        <w:t>-</w:t>
      </w:r>
      <w:r w:rsidRPr="00F465BF">
        <w:rPr>
          <w:rFonts w:ascii="Arial" w:eastAsia="Times New Roman" w:hAnsi="Arial" w:cs="Arial"/>
        </w:rPr>
        <w:t>Plaintiff then raise</w:t>
      </w:r>
      <w:r w:rsidR="00FF4A96">
        <w:rPr>
          <w:rFonts w:ascii="Arial" w:eastAsia="Times New Roman" w:hAnsi="Arial" w:cs="Arial"/>
        </w:rPr>
        <w:t>d</w:t>
      </w:r>
      <w:r w:rsidRPr="00F465BF">
        <w:rPr>
          <w:rFonts w:ascii="Arial" w:eastAsia="Times New Roman" w:hAnsi="Arial" w:cs="Arial"/>
        </w:rPr>
        <w:t xml:space="preserve"> the identifiable victim/imminent harm exception to immunity. The court noted that because the plaintiff was a school child injured on school grounds and during school hours, the identifiable person element need not be satisfied because the child was part of a foreseeable class.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However, the court found the plaintiff did not satisfy the imminent harm element. There was no evidence that the missing bolt on the play scape was apparent to the defendant nor could the plaintiffs meet the other requirements that the probability of injury to the plaintiff was so high that the defendant had a clear and unequivocal duty to act immediately to prevent harm. </w:t>
      </w:r>
    </w:p>
    <w:p w:rsidR="00F465BF" w:rsidRPr="00F465BF" w:rsidRDefault="00F465BF" w:rsidP="00F465BF">
      <w:pPr>
        <w:rPr>
          <w:rFonts w:ascii="Arial" w:eastAsia="Times New Roman" w:hAnsi="Arial" w:cs="Arial"/>
        </w:rPr>
      </w:pPr>
      <w:r w:rsidRPr="00F465BF">
        <w:rPr>
          <w:rFonts w:ascii="Arial" w:eastAsia="Times New Roman" w:hAnsi="Arial" w:cs="Arial"/>
        </w:rPr>
        <w:t>– Summary judgment entered for the town</w:t>
      </w:r>
      <w:r w:rsidRPr="00F465BF">
        <w:rPr>
          <w:rFonts w:ascii="Arial" w:eastAsia="Times New Roman" w:hAnsi="Arial" w:cs="Arial"/>
        </w:rPr>
        <w:br/>
      </w:r>
      <w:r w:rsidRPr="00F465BF">
        <w:rPr>
          <w:rFonts w:ascii="Arial" w:eastAsia="Times New Roman" w:hAnsi="Arial" w:cs="Arial"/>
        </w:rPr>
        <w:br/>
      </w:r>
      <w:r w:rsidRPr="00F465BF">
        <w:rPr>
          <w:rFonts w:ascii="Arial" w:eastAsia="Times New Roman" w:hAnsi="Arial" w:cs="Arial"/>
        </w:rPr>
        <w:br/>
      </w:r>
      <w:r w:rsidR="00DA61AC" w:rsidRPr="00E22B79">
        <w:rPr>
          <w:rFonts w:ascii="Arial" w:eastAsia="Times New Roman" w:hAnsi="Arial" w:cs="Arial"/>
          <w:b/>
          <w:u w:val="single"/>
        </w:rPr>
        <w:t>Nugent v. T</w:t>
      </w:r>
      <w:r w:rsidRPr="00E22B79">
        <w:rPr>
          <w:rFonts w:ascii="Arial" w:eastAsia="Times New Roman" w:hAnsi="Arial" w:cs="Arial"/>
          <w:b/>
          <w:u w:val="single"/>
        </w:rPr>
        <w:t>own of Salisbury</w:t>
      </w:r>
      <w:r w:rsidRPr="00DA61AC">
        <w:rPr>
          <w:rFonts w:ascii="Arial" w:eastAsia="Times New Roman" w:hAnsi="Arial" w:cs="Arial"/>
          <w:b/>
        </w:rPr>
        <w:t>, 2016 WL 302-6741 (5/6/16)</w:t>
      </w:r>
      <w:r w:rsidRPr="00F465BF">
        <w:rPr>
          <w:rFonts w:ascii="Arial" w:eastAsia="Times New Roman" w:hAnsi="Arial" w:cs="Arial"/>
        </w:rPr>
        <w:br/>
      </w:r>
      <w:r w:rsidRPr="00F465BF">
        <w:rPr>
          <w:rFonts w:ascii="Arial" w:eastAsia="Times New Roman" w:hAnsi="Arial" w:cs="Arial"/>
        </w:rPr>
        <w:br/>
        <w:t xml:space="preserve">– In December 2013 plaintiff attempted to access the cardboard dumpster at the Salisbury  recycling station.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While walking toward the sidewalk from the main parking area plaintiff fell on a defective lip covered with ice and debris </w:t>
      </w:r>
    </w:p>
    <w:p w:rsidR="00F465BF" w:rsidRPr="00F465BF" w:rsidRDefault="00F465BF" w:rsidP="00F465BF">
      <w:pPr>
        <w:rPr>
          <w:rFonts w:ascii="Arial" w:eastAsia="Times New Roman" w:hAnsi="Arial" w:cs="Arial"/>
        </w:rPr>
      </w:pPr>
      <w:r w:rsidRPr="00F465BF">
        <w:rPr>
          <w:rFonts w:ascii="Arial" w:eastAsia="Times New Roman" w:hAnsi="Arial" w:cs="Arial"/>
          <w:color w:val="000000"/>
        </w:rPr>
        <w:t>-</w:t>
      </w:r>
      <w:r w:rsidRPr="00F465BF">
        <w:rPr>
          <w:rFonts w:ascii="Arial" w:eastAsia="Times New Roman" w:hAnsi="Arial" w:cs="Arial"/>
        </w:rPr>
        <w:t xml:space="preserve">plaintiff sued pursuant to the defective highway act, 13a-149 </w:t>
      </w:r>
    </w:p>
    <w:p w:rsidR="00F465BF" w:rsidRPr="00F465BF" w:rsidRDefault="00F465BF" w:rsidP="00F465BF">
      <w:pPr>
        <w:rPr>
          <w:rFonts w:ascii="Arial" w:eastAsia="Times New Roman" w:hAnsi="Arial" w:cs="Arial"/>
        </w:rPr>
      </w:pPr>
      <w:r w:rsidRPr="00F465BF">
        <w:rPr>
          <w:rFonts w:ascii="Arial" w:eastAsia="Times New Roman" w:hAnsi="Arial" w:cs="Arial"/>
        </w:rPr>
        <w:t>– The transfer station was located adjacent to a state highway, and on days when the transfer station was closed entrance to it was blocked by a locked gate.</w:t>
      </w:r>
    </w:p>
    <w:p w:rsidR="00F465BF" w:rsidRPr="00F465BF" w:rsidRDefault="00F465BF" w:rsidP="00F465BF">
      <w:pPr>
        <w:rPr>
          <w:rFonts w:ascii="Arial" w:eastAsia="Times New Roman" w:hAnsi="Arial" w:cs="Arial"/>
        </w:rPr>
      </w:pPr>
      <w:r w:rsidRPr="00F465BF">
        <w:rPr>
          <w:rFonts w:ascii="Arial" w:eastAsia="Times New Roman" w:hAnsi="Arial" w:cs="Arial"/>
        </w:rPr>
        <w:t>– Town moved for su</w:t>
      </w:r>
      <w:r w:rsidR="00FF4A96">
        <w:rPr>
          <w:rFonts w:ascii="Arial" w:eastAsia="Times New Roman" w:hAnsi="Arial" w:cs="Arial"/>
        </w:rPr>
        <w:t>mmary judgment, asserting that t</w:t>
      </w:r>
      <w:r w:rsidRPr="00F465BF">
        <w:rPr>
          <w:rFonts w:ascii="Arial" w:eastAsia="Times New Roman" w:hAnsi="Arial" w:cs="Arial"/>
        </w:rPr>
        <w:t>he location of the plaintiffs fall was not within the ambit of the defective highway act.</w:t>
      </w:r>
    </w:p>
    <w:p w:rsidR="00F465BF" w:rsidRPr="00F465BF" w:rsidRDefault="00FF4A96" w:rsidP="00F465BF">
      <w:pPr>
        <w:rPr>
          <w:rFonts w:ascii="Arial" w:eastAsia="Times New Roman" w:hAnsi="Arial" w:cs="Arial"/>
        </w:rPr>
      </w:pPr>
      <w:r>
        <w:rPr>
          <w:rFonts w:ascii="Arial" w:eastAsia="Times New Roman" w:hAnsi="Arial" w:cs="Arial"/>
        </w:rPr>
        <w:t>– The court noted that t</w:t>
      </w:r>
      <w:r w:rsidR="00F465BF" w:rsidRPr="00F465BF">
        <w:rPr>
          <w:rFonts w:ascii="Arial" w:eastAsia="Times New Roman" w:hAnsi="Arial" w:cs="Arial"/>
        </w:rPr>
        <w:t>he plain meaning of the word highway is "a main road or thoroughfare; hence, a road or way open to the use of the public. The essential feature of a highway is that every traveler has an equal right in it with every other traveler.</w:t>
      </w:r>
      <w:r>
        <w:rPr>
          <w:rFonts w:ascii="Arial" w:eastAsia="Times New Roman" w:hAnsi="Arial" w:cs="Arial"/>
        </w:rPr>
        <w:t>”</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-The court held that the area where the plaintiff fell, the parking lot, was not within the ambit of the defective highway act because </w:t>
      </w:r>
      <w:r w:rsidR="00FF4A96">
        <w:rPr>
          <w:rFonts w:ascii="Arial" w:eastAsia="Times New Roman" w:hAnsi="Arial" w:cs="Arial"/>
        </w:rPr>
        <w:t>access</w:t>
      </w:r>
      <w:r w:rsidRPr="00F465BF">
        <w:rPr>
          <w:rFonts w:ascii="Arial" w:eastAsia="Times New Roman" w:hAnsi="Arial" w:cs="Arial"/>
        </w:rPr>
        <w:t xml:space="preserve"> the parking area was restric</w:t>
      </w:r>
      <w:r w:rsidR="00FF4A96">
        <w:rPr>
          <w:rFonts w:ascii="Arial" w:eastAsia="Times New Roman" w:hAnsi="Arial" w:cs="Arial"/>
        </w:rPr>
        <w:t>ted, in that it was only open to town</w:t>
      </w:r>
      <w:r w:rsidRPr="00F465BF">
        <w:rPr>
          <w:rFonts w:ascii="Arial" w:eastAsia="Times New Roman" w:hAnsi="Arial" w:cs="Arial"/>
        </w:rPr>
        <w:t xml:space="preserve"> residen</w:t>
      </w:r>
      <w:r w:rsidR="00FF4A96">
        <w:rPr>
          <w:rFonts w:ascii="Arial" w:eastAsia="Times New Roman" w:hAnsi="Arial" w:cs="Arial"/>
        </w:rPr>
        <w:t>ts</w:t>
      </w:r>
      <w:r w:rsidRPr="00F465BF">
        <w:rPr>
          <w:rFonts w:ascii="Arial" w:eastAsia="Times New Roman" w:hAnsi="Arial" w:cs="Arial"/>
        </w:rPr>
        <w:t>, and only on certain days and during certain hours.</w:t>
      </w:r>
    </w:p>
    <w:p w:rsidR="00F465BF" w:rsidRPr="00F465BF" w:rsidRDefault="00F465BF" w:rsidP="00F465BF">
      <w:pPr>
        <w:rPr>
          <w:rFonts w:ascii="Arial" w:eastAsia="Times New Roman" w:hAnsi="Arial" w:cs="Arial"/>
        </w:rPr>
      </w:pPr>
      <w:r w:rsidRPr="00F465BF">
        <w:rPr>
          <w:rFonts w:ascii="Arial" w:eastAsia="Times New Roman" w:hAnsi="Arial" w:cs="Arial"/>
        </w:rPr>
        <w:br/>
      </w:r>
    </w:p>
    <w:p w:rsidR="00F465BF" w:rsidRPr="00F465BF" w:rsidRDefault="00F465BF" w:rsidP="00F465BF">
      <w:pPr>
        <w:rPr>
          <w:rFonts w:ascii="Arial" w:eastAsia="Times New Roman" w:hAnsi="Arial" w:cs="Arial"/>
        </w:rPr>
      </w:pPr>
      <w:r w:rsidRPr="00F465BF">
        <w:rPr>
          <w:rFonts w:ascii="Arial" w:eastAsia="Times New Roman" w:hAnsi="Arial" w:cs="Arial"/>
        </w:rPr>
        <w:lastRenderedPageBreak/>
        <w:t>– The court further held that the parking lot was not used for the purposes of ordinary course of travel</w:t>
      </w:r>
      <w:proofErr w:type="gramStart"/>
      <w:r w:rsidRPr="00F465BF">
        <w:rPr>
          <w:rFonts w:ascii="Arial" w:eastAsia="Times New Roman" w:hAnsi="Arial" w:cs="Arial"/>
        </w:rPr>
        <w:t>.-</w:t>
      </w:r>
      <w:proofErr w:type="gramEnd"/>
      <w:r w:rsidRPr="00F465BF">
        <w:rPr>
          <w:rFonts w:ascii="Arial" w:eastAsia="Times New Roman" w:hAnsi="Arial" w:cs="Arial"/>
        </w:rPr>
        <w:t xml:space="preserve"> Thus, plaintiff could not prevail on a defective highway claim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w:t>
      </w:r>
      <w:proofErr w:type="gramStart"/>
      <w:r w:rsidRPr="00F465BF">
        <w:rPr>
          <w:rFonts w:ascii="Arial" w:eastAsia="Times New Roman" w:hAnsi="Arial" w:cs="Arial"/>
        </w:rPr>
        <w:t>plaintiff</w:t>
      </w:r>
      <w:proofErr w:type="gramEnd"/>
      <w:r w:rsidRPr="00F465BF">
        <w:rPr>
          <w:rFonts w:ascii="Arial" w:eastAsia="Times New Roman" w:hAnsi="Arial" w:cs="Arial"/>
        </w:rPr>
        <w:t xml:space="preserve"> should have sued for negligence and tried to get around a governmental immunity defense, but did not do so.</w:t>
      </w:r>
      <w:r w:rsidRPr="00F465BF">
        <w:rPr>
          <w:rFonts w:ascii="Arial" w:eastAsia="Times New Roman" w:hAnsi="Arial" w:cs="Arial"/>
        </w:rPr>
        <w:br/>
      </w:r>
      <w:r w:rsidRPr="00F465BF">
        <w:rPr>
          <w:rFonts w:ascii="Arial" w:eastAsia="Times New Roman" w:hAnsi="Arial" w:cs="Arial"/>
        </w:rPr>
        <w:br/>
      </w:r>
      <w:r w:rsidRPr="00E22B79">
        <w:rPr>
          <w:rFonts w:ascii="Arial" w:eastAsia="Times New Roman" w:hAnsi="Arial" w:cs="Arial"/>
          <w:b/>
          <w:u w:val="single"/>
        </w:rPr>
        <w:t>Brooks v Powers</w:t>
      </w:r>
      <w:r w:rsidRPr="00DA61AC">
        <w:rPr>
          <w:rFonts w:ascii="Arial" w:eastAsia="Times New Roman" w:hAnsi="Arial" w:cs="Arial"/>
          <w:b/>
        </w:rPr>
        <w:t>, 165 Conn. App. 44 (4/26/16)</w:t>
      </w:r>
      <w:r w:rsidRPr="00F465BF">
        <w:rPr>
          <w:rFonts w:ascii="Arial" w:eastAsia="Times New Roman" w:hAnsi="Arial" w:cs="Arial"/>
        </w:rPr>
        <w:br/>
      </w:r>
      <w:r w:rsidRPr="00F465BF">
        <w:rPr>
          <w:rFonts w:ascii="Arial" w:eastAsia="Times New Roman" w:hAnsi="Arial" w:cs="Arial"/>
        </w:rPr>
        <w:br/>
        <w:t>-Plaintiffs decedent was standing in a field during a heavy thunderstorm with arms stretched towards the sky</w:t>
      </w:r>
      <w:r w:rsidRPr="00F465BF">
        <w:rPr>
          <w:rFonts w:ascii="Arial" w:eastAsia="Times New Roman" w:hAnsi="Arial" w:cs="Arial"/>
        </w:rPr>
        <w:br/>
        <w:t xml:space="preserve">-The town tax collector saw the plaintiff and thought she needed some type of mental help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w:t>
      </w:r>
      <w:proofErr w:type="gramStart"/>
      <w:r w:rsidRPr="00F465BF">
        <w:rPr>
          <w:rFonts w:ascii="Arial" w:eastAsia="Times New Roman" w:hAnsi="Arial" w:cs="Arial"/>
        </w:rPr>
        <w:t>tax</w:t>
      </w:r>
      <w:proofErr w:type="gramEnd"/>
      <w:r w:rsidRPr="00F465BF">
        <w:rPr>
          <w:rFonts w:ascii="Arial" w:eastAsia="Times New Roman" w:hAnsi="Arial" w:cs="Arial"/>
        </w:rPr>
        <w:t xml:space="preserve"> collector to</w:t>
      </w:r>
      <w:r w:rsidR="00FF4A96">
        <w:rPr>
          <w:rFonts w:ascii="Arial" w:eastAsia="Times New Roman" w:hAnsi="Arial" w:cs="Arial"/>
        </w:rPr>
        <w:t>ld  a</w:t>
      </w:r>
      <w:r w:rsidRPr="00F465BF">
        <w:rPr>
          <w:rFonts w:ascii="Arial" w:eastAsia="Times New Roman" w:hAnsi="Arial" w:cs="Arial"/>
        </w:rPr>
        <w:t xml:space="preserve"> town constable that the woman in the field needed help, and the constable called the matter into the state police dispatcher. </w:t>
      </w:r>
    </w:p>
    <w:p w:rsidR="00F465BF" w:rsidRPr="00F465BF" w:rsidRDefault="00F465BF" w:rsidP="00F465BF">
      <w:pPr>
        <w:rPr>
          <w:rFonts w:ascii="Arial" w:eastAsia="Times New Roman" w:hAnsi="Arial" w:cs="Arial"/>
        </w:rPr>
      </w:pPr>
      <w:r w:rsidRPr="00F465BF">
        <w:rPr>
          <w:rFonts w:ascii="Arial" w:eastAsia="Times New Roman" w:hAnsi="Arial" w:cs="Arial"/>
        </w:rPr>
        <w:t>– The dispatcher advise</w:t>
      </w:r>
      <w:r w:rsidR="00FF4A96">
        <w:rPr>
          <w:rFonts w:ascii="Arial" w:eastAsia="Times New Roman" w:hAnsi="Arial" w:cs="Arial"/>
        </w:rPr>
        <w:t>d</w:t>
      </w:r>
      <w:r w:rsidRPr="00F465BF">
        <w:rPr>
          <w:rFonts w:ascii="Arial" w:eastAsia="Times New Roman" w:hAnsi="Arial" w:cs="Arial"/>
        </w:rPr>
        <w:t xml:space="preserve"> the constable that she would send another constable to assist the woman, however, she got busy with other matters and neglected to do so. </w:t>
      </w:r>
    </w:p>
    <w:p w:rsidR="00F465BF" w:rsidRPr="00F465BF" w:rsidRDefault="00F465BF" w:rsidP="00DA61AC">
      <w:pPr>
        <w:outlineLvl w:val="0"/>
        <w:rPr>
          <w:rFonts w:ascii="Arial" w:eastAsia="Times New Roman" w:hAnsi="Arial" w:cs="Arial"/>
        </w:rPr>
      </w:pPr>
      <w:r w:rsidRPr="00F465BF">
        <w:rPr>
          <w:rFonts w:ascii="Arial" w:eastAsia="Times New Roman" w:hAnsi="Arial" w:cs="Arial"/>
        </w:rPr>
        <w:t>– The first constable did not go to the</w:t>
      </w:r>
      <w:r w:rsidR="00DA61AC">
        <w:rPr>
          <w:rFonts w:ascii="Arial" w:eastAsia="Times New Roman" w:hAnsi="Arial" w:cs="Arial"/>
        </w:rPr>
        <w:t xml:space="preserve"> </w:t>
      </w:r>
      <w:r w:rsidRPr="00F465BF">
        <w:rPr>
          <w:rFonts w:ascii="Arial" w:eastAsia="Times New Roman" w:hAnsi="Arial" w:cs="Arial"/>
        </w:rPr>
        <w:t xml:space="preserve">field where the woman was standing, based on the belief that another constable was </w:t>
      </w:r>
      <w:proofErr w:type="gramStart"/>
      <w:r w:rsidRPr="00F465BF">
        <w:rPr>
          <w:rFonts w:ascii="Arial" w:eastAsia="Times New Roman" w:hAnsi="Arial" w:cs="Arial"/>
        </w:rPr>
        <w:t>an</w:t>
      </w:r>
      <w:proofErr w:type="gramEnd"/>
      <w:r w:rsidRPr="00F465BF">
        <w:rPr>
          <w:rFonts w:ascii="Arial" w:eastAsia="Times New Roman" w:hAnsi="Arial" w:cs="Arial"/>
        </w:rPr>
        <w:t xml:space="preserve"> route.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The woman was found drowned in Long Island sound the next morning. </w:t>
      </w:r>
    </w:p>
    <w:p w:rsidR="00F465BF" w:rsidRPr="00F465BF" w:rsidRDefault="00F465BF" w:rsidP="00F465BF">
      <w:pPr>
        <w:rPr>
          <w:rFonts w:ascii="Arial" w:eastAsia="Times New Roman" w:hAnsi="Arial" w:cs="Arial"/>
        </w:rPr>
      </w:pPr>
      <w:r w:rsidRPr="00F465BF">
        <w:rPr>
          <w:rFonts w:ascii="Arial" w:eastAsia="Times New Roman" w:hAnsi="Arial" w:cs="Arial"/>
        </w:rPr>
        <w:t>-Plaintiffs estate sued for negligence and the officer raise</w:t>
      </w:r>
      <w:r w:rsidR="00FF4A96">
        <w:rPr>
          <w:rFonts w:ascii="Arial" w:eastAsia="Times New Roman" w:hAnsi="Arial" w:cs="Arial"/>
        </w:rPr>
        <w:t>d</w:t>
      </w:r>
      <w:r w:rsidRPr="00F465BF">
        <w:rPr>
          <w:rFonts w:ascii="Arial" w:eastAsia="Times New Roman" w:hAnsi="Arial" w:cs="Arial"/>
        </w:rPr>
        <w:t xml:space="preserve"> governmental immunity.</w:t>
      </w:r>
    </w:p>
    <w:p w:rsidR="00F465BF" w:rsidRPr="00F465BF" w:rsidRDefault="00F465BF" w:rsidP="00F465BF">
      <w:pPr>
        <w:rPr>
          <w:rFonts w:ascii="Arial" w:eastAsia="Times New Roman" w:hAnsi="Arial" w:cs="Arial"/>
        </w:rPr>
      </w:pPr>
      <w:r w:rsidRPr="00F465BF">
        <w:rPr>
          <w:rFonts w:ascii="Arial" w:eastAsia="Times New Roman" w:hAnsi="Arial" w:cs="Arial"/>
        </w:rPr>
        <w:t>- The trial court found that the police actions were discretionary, and that plaintiff was not an identifiable victim at imminent risk of harm, because the defendant constable was entitled to assume that another officer would be assisting the plaintiff.</w:t>
      </w:r>
    </w:p>
    <w:p w:rsidR="00F465BF" w:rsidRPr="00F465BF" w:rsidRDefault="00F465BF" w:rsidP="00F465BF">
      <w:pPr>
        <w:rPr>
          <w:rFonts w:ascii="Arial" w:eastAsia="Times New Roman" w:hAnsi="Arial" w:cs="Arial"/>
        </w:rPr>
      </w:pPr>
      <w:r w:rsidRPr="00F465BF">
        <w:rPr>
          <w:rFonts w:ascii="Arial" w:eastAsia="Times New Roman" w:hAnsi="Arial" w:cs="Arial"/>
        </w:rPr>
        <w:t>- The appellate court reversed, finding that an issue of fact existed as to whether the manner in which the constable joked with the dispatcher about the woman in the field meeting professional help, exposed her too and imminent harm because the dispatcher might not take him seriously.</w:t>
      </w:r>
    </w:p>
    <w:p w:rsidR="00F465BF" w:rsidRPr="00F465BF" w:rsidRDefault="00F465BF" w:rsidP="00F465BF">
      <w:pPr>
        <w:rPr>
          <w:rFonts w:ascii="Arial" w:eastAsia="Times New Roman" w:hAnsi="Arial" w:cs="Arial"/>
        </w:rPr>
      </w:pPr>
      <w:r w:rsidRPr="00F465BF">
        <w:rPr>
          <w:rFonts w:ascii="Arial" w:eastAsia="Times New Roman" w:hAnsi="Arial" w:cs="Arial"/>
        </w:rPr>
        <w:t>- This was a split decision, two – one, with the dissent appropriately noting that the harm that ultimately be fell the victim, drowning in Long Island sound, was nowhere within the spectrum of foreseeable risk simply because the woman was standing in the rain one half mile in length. </w:t>
      </w:r>
    </w:p>
    <w:p w:rsidR="00F465BF" w:rsidRPr="00F465BF" w:rsidRDefault="00F465BF" w:rsidP="00F465BF">
      <w:pPr>
        <w:rPr>
          <w:rFonts w:ascii="Arial" w:eastAsia="Times New Roman" w:hAnsi="Arial" w:cs="Arial"/>
        </w:rPr>
      </w:pPr>
      <w:r w:rsidRPr="00F465BF">
        <w:rPr>
          <w:rFonts w:ascii="Arial" w:eastAsia="Times New Roman" w:hAnsi="Arial" w:cs="Arial"/>
        </w:rPr>
        <w:t>- The defendants have petition</w:t>
      </w:r>
      <w:r w:rsidR="00FF4A96">
        <w:rPr>
          <w:rFonts w:ascii="Arial" w:eastAsia="Times New Roman" w:hAnsi="Arial" w:cs="Arial"/>
        </w:rPr>
        <w:t>ed</w:t>
      </w:r>
      <w:r w:rsidRPr="00F465BF">
        <w:rPr>
          <w:rFonts w:ascii="Arial" w:eastAsia="Times New Roman" w:hAnsi="Arial" w:cs="Arial"/>
        </w:rPr>
        <w:t xml:space="preserve"> </w:t>
      </w:r>
      <w:r w:rsidR="00FF4A96">
        <w:rPr>
          <w:rFonts w:ascii="Arial" w:eastAsia="Times New Roman" w:hAnsi="Arial" w:cs="Arial"/>
        </w:rPr>
        <w:t>the</w:t>
      </w:r>
      <w:r w:rsidRPr="00F465BF">
        <w:rPr>
          <w:rFonts w:ascii="Arial" w:eastAsia="Times New Roman" w:hAnsi="Arial" w:cs="Arial"/>
        </w:rPr>
        <w:t xml:space="preserve"> Connecticut Supreme Court to hear the case.</w:t>
      </w:r>
      <w:r w:rsidRPr="00F465BF">
        <w:rPr>
          <w:rFonts w:ascii="Arial" w:eastAsia="Times New Roman" w:hAnsi="Arial" w:cs="Arial"/>
        </w:rPr>
        <w:br/>
      </w:r>
      <w:r w:rsidRPr="00F465BF">
        <w:rPr>
          <w:rFonts w:ascii="Arial" w:eastAsia="Times New Roman" w:hAnsi="Arial" w:cs="Arial"/>
        </w:rPr>
        <w:br/>
      </w:r>
      <w:proofErr w:type="spellStart"/>
      <w:r w:rsidRPr="00E22B79">
        <w:rPr>
          <w:rFonts w:ascii="Arial" w:eastAsia="Times New Roman" w:hAnsi="Arial" w:cs="Arial"/>
          <w:b/>
          <w:u w:val="single"/>
        </w:rPr>
        <w:t>Texidor</w:t>
      </w:r>
      <w:proofErr w:type="spellEnd"/>
      <w:r w:rsidRPr="00E22B79">
        <w:rPr>
          <w:rFonts w:ascii="Arial" w:eastAsia="Times New Roman" w:hAnsi="Arial" w:cs="Arial"/>
          <w:b/>
          <w:u w:val="single"/>
        </w:rPr>
        <w:t xml:space="preserve"> v. </w:t>
      </w:r>
      <w:proofErr w:type="spellStart"/>
      <w:r w:rsidRPr="00E22B79">
        <w:rPr>
          <w:rFonts w:ascii="Arial" w:eastAsia="Times New Roman" w:hAnsi="Arial" w:cs="Arial"/>
          <w:b/>
          <w:u w:val="single"/>
        </w:rPr>
        <w:t>Thibodeau</w:t>
      </w:r>
      <w:proofErr w:type="spellEnd"/>
      <w:r w:rsidR="00FF4A96">
        <w:rPr>
          <w:rFonts w:ascii="Arial" w:eastAsia="Times New Roman" w:hAnsi="Arial" w:cs="Arial"/>
          <w:b/>
        </w:rPr>
        <w:t>, 163 C</w:t>
      </w:r>
      <w:r w:rsidRPr="00E22B79">
        <w:rPr>
          <w:rFonts w:ascii="Arial" w:eastAsia="Times New Roman" w:hAnsi="Arial" w:cs="Arial"/>
          <w:b/>
        </w:rPr>
        <w:t>on</w:t>
      </w:r>
      <w:r w:rsidR="00FF4A96">
        <w:rPr>
          <w:rFonts w:ascii="Arial" w:eastAsia="Times New Roman" w:hAnsi="Arial" w:cs="Arial"/>
          <w:b/>
        </w:rPr>
        <w:t>n</w:t>
      </w:r>
      <w:r w:rsidRPr="00E22B79">
        <w:rPr>
          <w:rFonts w:ascii="Arial" w:eastAsia="Times New Roman" w:hAnsi="Arial" w:cs="Arial"/>
          <w:b/>
        </w:rPr>
        <w:t>. App. 847 (3/22/16</w:t>
      </w:r>
      <w:proofErr w:type="gramStart"/>
      <w:r w:rsidRPr="00E22B79">
        <w:rPr>
          <w:rFonts w:ascii="Arial" w:eastAsia="Times New Roman" w:hAnsi="Arial" w:cs="Arial"/>
          <w:b/>
        </w:rPr>
        <w:t>)</w:t>
      </w:r>
      <w:proofErr w:type="gramEnd"/>
      <w:r w:rsidRPr="00F465BF">
        <w:rPr>
          <w:rFonts w:ascii="Arial" w:eastAsia="Times New Roman" w:hAnsi="Arial" w:cs="Arial"/>
        </w:rPr>
        <w:br/>
      </w:r>
      <w:r w:rsidRPr="00F465BF">
        <w:rPr>
          <w:rFonts w:ascii="Arial" w:eastAsia="Times New Roman" w:hAnsi="Arial" w:cs="Arial"/>
        </w:rPr>
        <w:br/>
        <w:t>– Plaintiff called the West Hartford Police Department to complain that a group of boys were harassing his daughter.</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w:t>
      </w:r>
      <w:r w:rsidR="00FF4A96">
        <w:rPr>
          <w:rFonts w:ascii="Arial" w:eastAsia="Times New Roman" w:hAnsi="Arial" w:cs="Arial"/>
        </w:rPr>
        <w:t>Police dispatcher told plaintiff</w:t>
      </w:r>
      <w:r w:rsidRPr="00F465BF">
        <w:rPr>
          <w:rFonts w:ascii="Arial" w:eastAsia="Times New Roman" w:hAnsi="Arial" w:cs="Arial"/>
        </w:rPr>
        <w:t xml:space="preserve"> that p</w:t>
      </w:r>
      <w:r w:rsidR="002513F4">
        <w:rPr>
          <w:rFonts w:ascii="Arial" w:eastAsia="Times New Roman" w:hAnsi="Arial" w:cs="Arial"/>
        </w:rPr>
        <w:t>olice would be there to assist</w:t>
      </w:r>
      <w:r w:rsidRPr="00F465BF">
        <w:rPr>
          <w:rFonts w:ascii="Arial" w:eastAsia="Times New Roman" w:hAnsi="Arial" w:cs="Arial"/>
        </w:rPr>
        <w:t xml:space="preserve"> promptly.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Police had not responded, and a second call was made approximately one hour </w:t>
      </w:r>
      <w:proofErr w:type="gramStart"/>
      <w:r w:rsidRPr="00F465BF">
        <w:rPr>
          <w:rFonts w:ascii="Arial" w:eastAsia="Times New Roman" w:hAnsi="Arial" w:cs="Arial"/>
        </w:rPr>
        <w:t>later .</w:t>
      </w:r>
      <w:proofErr w:type="gramEnd"/>
      <w:r w:rsidRPr="00F465BF">
        <w:rPr>
          <w:rFonts w:ascii="Arial" w:eastAsia="Times New Roman" w:hAnsi="Arial" w:cs="Arial"/>
        </w:rPr>
        <w:t xml:space="preserve"> The mix up was due to the call coming in as a change of shift was in progress, and the call was coded as a non-emergency.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as a result of the second call police officers responded, and upon arrival they found that the plaintiff had been shot by one of the boys who was harassing his daughter. </w:t>
      </w:r>
    </w:p>
    <w:p w:rsidR="002513F4" w:rsidRDefault="00F465BF" w:rsidP="00F465BF">
      <w:pPr>
        <w:rPr>
          <w:rFonts w:ascii="Arial" w:eastAsia="Times New Roman" w:hAnsi="Arial" w:cs="Arial"/>
        </w:rPr>
      </w:pPr>
      <w:r w:rsidRPr="00F465BF">
        <w:rPr>
          <w:rFonts w:ascii="Arial" w:eastAsia="Times New Roman" w:hAnsi="Arial" w:cs="Arial"/>
        </w:rPr>
        <w:t>– Plaintiff sued for negligence and the town move</w:t>
      </w:r>
      <w:r w:rsidR="002513F4">
        <w:rPr>
          <w:rFonts w:ascii="Arial" w:eastAsia="Times New Roman" w:hAnsi="Arial" w:cs="Arial"/>
        </w:rPr>
        <w:t>d</w:t>
      </w:r>
      <w:r w:rsidRPr="00F465BF">
        <w:rPr>
          <w:rFonts w:ascii="Arial" w:eastAsia="Times New Roman" w:hAnsi="Arial" w:cs="Arial"/>
        </w:rPr>
        <w:t xml:space="preserve"> for summary judgment based on governmental immunity</w:t>
      </w:r>
    </w:p>
    <w:p w:rsidR="00F465BF" w:rsidRPr="00F465BF" w:rsidRDefault="00F465BF" w:rsidP="00F465BF">
      <w:pPr>
        <w:rPr>
          <w:rFonts w:ascii="Arial" w:eastAsia="Times New Roman" w:hAnsi="Arial" w:cs="Arial"/>
        </w:rPr>
      </w:pPr>
      <w:r w:rsidRPr="00F465BF">
        <w:rPr>
          <w:rFonts w:ascii="Arial" w:eastAsia="Times New Roman" w:hAnsi="Arial" w:cs="Arial"/>
        </w:rPr>
        <w:lastRenderedPageBreak/>
        <w:t xml:space="preserve">– Summary judgment entered for the town. The court found that the operation of a Police Department is a governmental function and acts or omissions in connection there with ordinarily do not give rise to liability on the part of the municipality </w:t>
      </w:r>
    </w:p>
    <w:p w:rsidR="00F465BF" w:rsidRPr="00F465BF" w:rsidRDefault="00F465BF" w:rsidP="00F465BF">
      <w:pPr>
        <w:rPr>
          <w:rFonts w:ascii="Arial" w:eastAsia="Times New Roman" w:hAnsi="Arial" w:cs="Arial"/>
        </w:rPr>
      </w:pPr>
      <w:r w:rsidRPr="00F465BF">
        <w:rPr>
          <w:rFonts w:ascii="Arial" w:eastAsia="Times New Roman" w:hAnsi="Arial" w:cs="Arial"/>
        </w:rPr>
        <w:t>– Plaintiff was unable to point to any city charter pro</w:t>
      </w:r>
      <w:r w:rsidR="002513F4">
        <w:rPr>
          <w:rFonts w:ascii="Arial" w:eastAsia="Times New Roman" w:hAnsi="Arial" w:cs="Arial"/>
        </w:rPr>
        <w:t>vision, ordinance, regulation, r</w:t>
      </w:r>
      <w:r w:rsidRPr="00F465BF">
        <w:rPr>
          <w:rFonts w:ascii="Arial" w:eastAsia="Times New Roman" w:hAnsi="Arial" w:cs="Arial"/>
        </w:rPr>
        <w:t>ule, or policy that created a ministerial duty regarding the time in which the officers were to respond to a call for assistance.</w:t>
      </w:r>
    </w:p>
    <w:p w:rsidR="00F465BF" w:rsidRPr="00F465BF" w:rsidRDefault="00F465BF" w:rsidP="00F465BF">
      <w:pPr>
        <w:rPr>
          <w:rFonts w:ascii="Arial" w:eastAsia="Times New Roman" w:hAnsi="Arial" w:cs="Arial"/>
        </w:rPr>
      </w:pPr>
      <w:r w:rsidRPr="00F465BF">
        <w:rPr>
          <w:rFonts w:ascii="Arial" w:eastAsia="Times New Roman" w:hAnsi="Arial" w:cs="Arial"/>
          <w:color w:val="000000"/>
        </w:rPr>
        <w:t>-</w:t>
      </w:r>
      <w:r w:rsidRPr="00F465BF">
        <w:rPr>
          <w:rFonts w:ascii="Arial" w:eastAsia="Times New Roman" w:hAnsi="Arial" w:cs="Arial"/>
        </w:rPr>
        <w:t xml:space="preserve">The court held that the fact that the dispatcher reported </w:t>
      </w:r>
      <w:r w:rsidR="002513F4">
        <w:rPr>
          <w:rFonts w:ascii="Arial" w:eastAsia="Times New Roman" w:hAnsi="Arial" w:cs="Arial"/>
        </w:rPr>
        <w:t xml:space="preserve">that </w:t>
      </w:r>
      <w:r w:rsidRPr="00F465BF">
        <w:rPr>
          <w:rFonts w:ascii="Arial" w:eastAsia="Times New Roman" w:hAnsi="Arial" w:cs="Arial"/>
        </w:rPr>
        <w:t>the police officer would be there right away, did not create a ministerial duty on behalf of the town too, in fact, I have a police officer respond.</w:t>
      </w:r>
    </w:p>
    <w:p w:rsidR="002513F4" w:rsidRDefault="00F465BF" w:rsidP="00F465BF">
      <w:pPr>
        <w:rPr>
          <w:rFonts w:ascii="Arial" w:eastAsia="Times New Roman" w:hAnsi="Arial" w:cs="Arial"/>
        </w:rPr>
      </w:pPr>
      <w:r w:rsidRPr="00F465BF">
        <w:rPr>
          <w:rFonts w:ascii="Arial" w:eastAsia="Times New Roman" w:hAnsi="Arial" w:cs="Arial"/>
        </w:rPr>
        <w:t>-court held that it was not apparent to t</w:t>
      </w:r>
      <w:r w:rsidR="002513F4">
        <w:rPr>
          <w:rFonts w:ascii="Arial" w:eastAsia="Times New Roman" w:hAnsi="Arial" w:cs="Arial"/>
        </w:rPr>
        <w:t>he town that plaintiff was</w:t>
      </w:r>
      <w:proofErr w:type="gramStart"/>
      <w:r w:rsidR="002513F4">
        <w:rPr>
          <w:rFonts w:ascii="Arial" w:eastAsia="Times New Roman" w:hAnsi="Arial" w:cs="Arial"/>
        </w:rPr>
        <w:t>  at</w:t>
      </w:r>
      <w:proofErr w:type="gramEnd"/>
      <w:r w:rsidR="002513F4">
        <w:rPr>
          <w:rFonts w:ascii="Arial" w:eastAsia="Times New Roman" w:hAnsi="Arial" w:cs="Arial"/>
        </w:rPr>
        <w:t xml:space="preserve"> r</w:t>
      </w:r>
      <w:r w:rsidRPr="00F465BF">
        <w:rPr>
          <w:rFonts w:ascii="Arial" w:eastAsia="Times New Roman" w:hAnsi="Arial" w:cs="Arial"/>
        </w:rPr>
        <w:t>isk of imminent harm, as all he had done was call for police assistance.</w:t>
      </w:r>
    </w:p>
    <w:p w:rsidR="00F465BF" w:rsidRPr="00F465BF" w:rsidRDefault="002513F4" w:rsidP="00F465BF">
      <w:pPr>
        <w:rPr>
          <w:rFonts w:ascii="Arial" w:eastAsia="Times New Roman" w:hAnsi="Arial" w:cs="Arial"/>
        </w:rPr>
      </w:pPr>
      <w:r>
        <w:rPr>
          <w:rFonts w:ascii="Arial" w:eastAsia="Times New Roman" w:hAnsi="Arial" w:cs="Arial"/>
        </w:rPr>
        <w:t>--</w:t>
      </w:r>
      <w:r w:rsidR="00F465BF" w:rsidRPr="00F465BF">
        <w:rPr>
          <w:rFonts w:ascii="Arial" w:eastAsia="Times New Roman" w:hAnsi="Arial" w:cs="Arial"/>
        </w:rPr>
        <w:t>Court also found that there was no evidence that plaintiff was a member of a class o</w:t>
      </w:r>
      <w:r>
        <w:rPr>
          <w:rFonts w:ascii="Arial" w:eastAsia="Times New Roman" w:hAnsi="Arial" w:cs="Arial"/>
        </w:rPr>
        <w:t>f for seeable victims, a</w:t>
      </w:r>
      <w:r w:rsidR="00F465BF" w:rsidRPr="00F465BF">
        <w:rPr>
          <w:rFonts w:ascii="Arial" w:eastAsia="Times New Roman" w:hAnsi="Arial" w:cs="Arial"/>
        </w:rPr>
        <w:t>s that has been limited to injuries to school children attending school, injured on school property.</w:t>
      </w:r>
    </w:p>
    <w:p w:rsidR="00F465BF" w:rsidRPr="00F465BF" w:rsidRDefault="00F465BF" w:rsidP="00F465BF">
      <w:pPr>
        <w:rPr>
          <w:rFonts w:ascii="Arial" w:eastAsia="Times New Roman" w:hAnsi="Arial" w:cs="Arial"/>
        </w:rPr>
      </w:pPr>
      <w:r w:rsidRPr="00F465BF">
        <w:rPr>
          <w:rFonts w:ascii="Arial" w:eastAsia="Times New Roman" w:hAnsi="Arial" w:cs="Arial"/>
        </w:rPr>
        <w:br/>
      </w:r>
      <w:r w:rsidRPr="00F465BF">
        <w:rPr>
          <w:rFonts w:ascii="Arial" w:eastAsia="Times New Roman" w:hAnsi="Arial" w:cs="Arial"/>
        </w:rPr>
        <w:br/>
      </w:r>
      <w:r w:rsidRPr="00E22B79">
        <w:rPr>
          <w:rFonts w:ascii="Arial" w:eastAsia="Times New Roman" w:hAnsi="Arial" w:cs="Arial"/>
          <w:b/>
          <w:u w:val="single"/>
        </w:rPr>
        <w:t>Teodoro v. Bristol,</w:t>
      </w:r>
      <w:r w:rsidRPr="00DA61AC">
        <w:rPr>
          <w:rFonts w:ascii="Arial" w:eastAsia="Times New Roman" w:hAnsi="Arial" w:cs="Arial"/>
          <w:b/>
        </w:rPr>
        <w:t xml:space="preserve"> 2016 WL 276-3296 (4/18/2016</w:t>
      </w:r>
      <w:proofErr w:type="gramStart"/>
      <w:r w:rsidR="00DA61AC" w:rsidRPr="00DA61AC">
        <w:rPr>
          <w:rFonts w:ascii="Arial" w:eastAsia="Times New Roman" w:hAnsi="Arial" w:cs="Arial"/>
          <w:b/>
        </w:rPr>
        <w:t>)</w:t>
      </w:r>
      <w:proofErr w:type="gramEnd"/>
      <w:r w:rsidRPr="00F465BF">
        <w:rPr>
          <w:rFonts w:ascii="Arial" w:eastAsia="Times New Roman" w:hAnsi="Arial" w:cs="Arial"/>
        </w:rPr>
        <w:br/>
      </w:r>
      <w:r w:rsidRPr="00F465BF">
        <w:rPr>
          <w:rFonts w:ascii="Arial" w:eastAsia="Times New Roman" w:hAnsi="Arial" w:cs="Arial"/>
        </w:rPr>
        <w:br/>
        <w:t xml:space="preserve">– Plaintiff was injured during cheerleading practice when she was doing a stunt at the top of a formation, and fell </w:t>
      </w:r>
    </w:p>
    <w:p w:rsidR="00F465BF" w:rsidRPr="00F465BF" w:rsidRDefault="00F465BF" w:rsidP="00F465BF">
      <w:pPr>
        <w:rPr>
          <w:rFonts w:ascii="Arial" w:eastAsia="Times New Roman" w:hAnsi="Arial" w:cs="Arial"/>
        </w:rPr>
      </w:pPr>
      <w:r w:rsidRPr="00F465BF">
        <w:rPr>
          <w:rFonts w:ascii="Arial" w:eastAsia="Times New Roman" w:hAnsi="Arial" w:cs="Arial"/>
        </w:rPr>
        <w:t xml:space="preserve">– </w:t>
      </w:r>
      <w:proofErr w:type="gramStart"/>
      <w:r w:rsidRPr="00F465BF">
        <w:rPr>
          <w:rFonts w:ascii="Arial" w:eastAsia="Times New Roman" w:hAnsi="Arial" w:cs="Arial"/>
        </w:rPr>
        <w:t>plaintiff</w:t>
      </w:r>
      <w:proofErr w:type="gramEnd"/>
      <w:r w:rsidRPr="00F465BF">
        <w:rPr>
          <w:rFonts w:ascii="Arial" w:eastAsia="Times New Roman" w:hAnsi="Arial" w:cs="Arial"/>
        </w:rPr>
        <w:t xml:space="preserve"> sued for negligence, and cheerleading coach responded with a motion for summary judgment based on governmental immunity. </w:t>
      </w:r>
    </w:p>
    <w:p w:rsidR="00F465BF" w:rsidRPr="00F465BF" w:rsidRDefault="00F465BF" w:rsidP="00F465BF">
      <w:pPr>
        <w:rPr>
          <w:rFonts w:ascii="Arial" w:eastAsia="Times New Roman" w:hAnsi="Arial" w:cs="Arial"/>
        </w:rPr>
      </w:pPr>
      <w:r w:rsidRPr="00F465BF">
        <w:rPr>
          <w:rFonts w:ascii="Arial" w:eastAsia="Times New Roman" w:hAnsi="Arial" w:cs="Arial"/>
        </w:rPr>
        <w:t>– Plaintiff had performed this stunt successfully numerous times, and her injury was caused by plaintiff falling forward off of the formation instead of rearward, as she was taught.</w:t>
      </w:r>
      <w:r w:rsidRPr="00F465BF">
        <w:rPr>
          <w:rFonts w:ascii="Arial" w:eastAsia="Times New Roman" w:hAnsi="Arial" w:cs="Arial"/>
        </w:rPr>
        <w:br/>
        <w:t xml:space="preserve">– Court granted summary judgment after finding that the supervision of students at in extracurricular activity involved judgment and discretion. </w:t>
      </w:r>
    </w:p>
    <w:p w:rsidR="00F465BF" w:rsidRPr="00F465BF" w:rsidRDefault="00F465BF" w:rsidP="00F465BF">
      <w:pPr>
        <w:rPr>
          <w:rFonts w:ascii="Arial" w:eastAsia="Times New Roman" w:hAnsi="Arial" w:cs="Arial"/>
        </w:rPr>
      </w:pPr>
      <w:r w:rsidRPr="00F465BF">
        <w:rPr>
          <w:rFonts w:ascii="Arial" w:eastAsia="Times New Roman" w:hAnsi="Arial" w:cs="Arial"/>
        </w:rPr>
        <w:t>– The court also found that plaintiff was not an identifiable victim at risk of imminent harm given that she had perform this task many times successfully, she was a senior and this was he</w:t>
      </w:r>
      <w:r w:rsidR="002513F4">
        <w:rPr>
          <w:rFonts w:ascii="Arial" w:eastAsia="Times New Roman" w:hAnsi="Arial" w:cs="Arial"/>
        </w:rPr>
        <w:t>r fourth year of cheerleading, a</w:t>
      </w:r>
      <w:r w:rsidRPr="00F465BF">
        <w:rPr>
          <w:rFonts w:ascii="Arial" w:eastAsia="Times New Roman" w:hAnsi="Arial" w:cs="Arial"/>
        </w:rPr>
        <w:t xml:space="preserve">nd she was adequately taught how to fall if she lost her balance. </w:t>
      </w:r>
    </w:p>
    <w:p w:rsidR="00F465BF" w:rsidRPr="00F465BF" w:rsidRDefault="002513F4" w:rsidP="00F465BF">
      <w:pPr>
        <w:rPr>
          <w:rFonts w:ascii="Arial" w:eastAsia="Times New Roman" w:hAnsi="Arial" w:cs="Arial"/>
        </w:rPr>
      </w:pPr>
      <w:r>
        <w:rPr>
          <w:rFonts w:ascii="Arial" w:eastAsia="Times New Roman" w:hAnsi="Arial" w:cs="Arial"/>
        </w:rPr>
        <w:t>– Court further</w:t>
      </w:r>
      <w:r w:rsidR="00F465BF" w:rsidRPr="00F465BF">
        <w:rPr>
          <w:rFonts w:ascii="Arial" w:eastAsia="Times New Roman" w:hAnsi="Arial" w:cs="Arial"/>
        </w:rPr>
        <w:t xml:space="preserve"> held that plaintiff was not a member of a foreseeable class beca</w:t>
      </w:r>
      <w:r>
        <w:rPr>
          <w:rFonts w:ascii="Arial" w:eastAsia="Times New Roman" w:hAnsi="Arial" w:cs="Arial"/>
        </w:rPr>
        <w:t>use she was participating in an</w:t>
      </w:r>
      <w:r w:rsidR="00F465BF" w:rsidRPr="00F465BF">
        <w:rPr>
          <w:rFonts w:ascii="Arial" w:eastAsia="Times New Roman" w:hAnsi="Arial" w:cs="Arial"/>
        </w:rPr>
        <w:t xml:space="preserve"> after school voluntary extra curricular activity. Only those school children who have been mandated by state law to attend school have been considered part of a foreseeable class. </w:t>
      </w:r>
    </w:p>
    <w:p w:rsidR="00CC384D" w:rsidRDefault="00F465BF" w:rsidP="00F465BF">
      <w:pPr>
        <w:rPr>
          <w:rFonts w:ascii="Arial" w:eastAsia="Times New Roman" w:hAnsi="Arial" w:cs="Arial"/>
        </w:rPr>
      </w:pPr>
      <w:r w:rsidRPr="00F465BF">
        <w:rPr>
          <w:rFonts w:ascii="Arial" w:eastAsia="Times New Roman" w:hAnsi="Arial" w:cs="Arial"/>
        </w:rPr>
        <w:t>– Case has been appealed by plaintiff</w:t>
      </w:r>
    </w:p>
    <w:p w:rsidR="00DA61AC" w:rsidRDefault="00DA61AC" w:rsidP="00F465BF">
      <w:pPr>
        <w:rPr>
          <w:rFonts w:ascii="Arial" w:eastAsia="Times New Roman" w:hAnsi="Arial" w:cs="Arial"/>
        </w:rPr>
      </w:pPr>
    </w:p>
    <w:p w:rsidR="00DA61AC" w:rsidRPr="00EC7633" w:rsidRDefault="00DA61AC" w:rsidP="00DA61AC">
      <w:pPr>
        <w:tabs>
          <w:tab w:val="left" w:pos="720"/>
          <w:tab w:val="left" w:pos="1440"/>
          <w:tab w:val="left" w:pos="4320"/>
        </w:tabs>
        <w:rPr>
          <w:rFonts w:ascii="Arial" w:hAnsi="Arial" w:cs="Arial"/>
          <w:b/>
        </w:rPr>
      </w:pPr>
      <w:proofErr w:type="spellStart"/>
      <w:r w:rsidRPr="00EC7633">
        <w:rPr>
          <w:rFonts w:ascii="Arial" w:hAnsi="Arial" w:cs="Arial"/>
          <w:b/>
          <w:u w:val="single"/>
        </w:rPr>
        <w:t>Brusby</w:t>
      </w:r>
      <w:proofErr w:type="spellEnd"/>
      <w:r w:rsidRPr="00EC7633">
        <w:rPr>
          <w:rFonts w:ascii="Arial" w:hAnsi="Arial" w:cs="Arial"/>
          <w:b/>
          <w:u w:val="single"/>
        </w:rPr>
        <w:t xml:space="preserve"> v. Metropolitan District</w:t>
      </w:r>
      <w:r w:rsidRPr="00EC7633">
        <w:rPr>
          <w:rFonts w:ascii="Arial" w:hAnsi="Arial" w:cs="Arial"/>
          <w:b/>
        </w:rPr>
        <w:t>, 160 Conn. App. 638 (10-20-15)</w:t>
      </w:r>
    </w:p>
    <w:p w:rsidR="00DA61AC" w:rsidRPr="00EC7633" w:rsidRDefault="00DA61AC" w:rsidP="00DA61AC">
      <w:pPr>
        <w:tabs>
          <w:tab w:val="left" w:pos="720"/>
          <w:tab w:val="left" w:pos="1440"/>
          <w:tab w:val="left" w:pos="4320"/>
        </w:tabs>
        <w:rPr>
          <w:rFonts w:ascii="Arial" w:hAnsi="Arial" w:cs="Arial"/>
        </w:rPr>
      </w:pP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xml:space="preserve">- Homeowner brought suit against MDC alleging negligence in maintenance of the municipal sewer </w:t>
      </w:r>
      <w:proofErr w:type="gramStart"/>
      <w:r w:rsidRPr="00EC7633">
        <w:rPr>
          <w:rFonts w:ascii="Arial" w:hAnsi="Arial" w:cs="Arial"/>
        </w:rPr>
        <w:t>system, that</w:t>
      </w:r>
      <w:proofErr w:type="gramEnd"/>
      <w:r w:rsidRPr="00EC7633">
        <w:rPr>
          <w:rFonts w:ascii="Arial" w:hAnsi="Arial" w:cs="Arial"/>
        </w:rPr>
        <w:t xml:space="preserve"> resulted in raw sewage flooding her basement.</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MDC moved for Summary Judgment based on governmental immunity, which the Trial Court granted.</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Appellate affirmed in part and reversed in part.</w:t>
      </w:r>
    </w:p>
    <w:p w:rsidR="00DA61AC" w:rsidRPr="00EC7633" w:rsidRDefault="00DA61AC" w:rsidP="00DA61AC">
      <w:pPr>
        <w:tabs>
          <w:tab w:val="left" w:pos="720"/>
          <w:tab w:val="left" w:pos="1440"/>
          <w:tab w:val="left" w:pos="4320"/>
        </w:tabs>
        <w:rPr>
          <w:rFonts w:ascii="Arial" w:hAnsi="Arial" w:cs="Arial"/>
        </w:rPr>
      </w:pP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Plaintiff argued that the MDC owed a ministerial duty to build, maintain, test, design and inspect the sewer lines on her public street; also that the MDC had a ministerial duty to make sure her property was protected from sewage backflows from the main line.</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xml:space="preserve">- Court made no mention of the old line of cases that held that maintenance of a sewer system is ministerial, and instead followed its 2012 Decision in </w:t>
      </w:r>
      <w:r w:rsidRPr="00EC7633">
        <w:rPr>
          <w:rFonts w:ascii="Arial" w:hAnsi="Arial" w:cs="Arial"/>
          <w:u w:val="single"/>
        </w:rPr>
        <w:t>Silberstein v. 54 Hillcrest Park Associates</w:t>
      </w:r>
      <w:r w:rsidRPr="00EC7633">
        <w:rPr>
          <w:rFonts w:ascii="Arial" w:hAnsi="Arial" w:cs="Arial"/>
        </w:rPr>
        <w:t>, 135 Conn. App. 262 (2012) where it held that maintenance of roads, storm drains and sewers is discretionary in nature.</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We are now in a position to secure governmental immunity in all water and sewer cases, so long as there is no local Ordinance prescribing a specific manner in which a sewer system is to be maintained or repaired.</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Court recognized that not only is inspection discretionary, but once the inspection is completed the Defendant, in its discretion, determines whether repairs are necessary and if so, when and in what manner such repairs should be made and what future maintenance is required.</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xml:space="preserve"> - Court also provided favorable opinion on the identifiable victim exception.</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xml:space="preserve">- Appellate Court returned to Supreme Court standard for exception requiring (1) an imminent harm; (2) an identifiable victim; and (3) a public official to whom it is apparent that his or her conduct is likely to subject </w:t>
      </w:r>
      <w:r w:rsidRPr="00EC7633">
        <w:rPr>
          <w:rFonts w:ascii="Arial" w:hAnsi="Arial" w:cs="Arial"/>
          <w:u w:val="single"/>
        </w:rPr>
        <w:t>that</w:t>
      </w:r>
      <w:r w:rsidRPr="00EC7633">
        <w:rPr>
          <w:rFonts w:ascii="Arial" w:hAnsi="Arial" w:cs="Arial"/>
        </w:rPr>
        <w:t xml:space="preserve"> victim to </w:t>
      </w:r>
      <w:r w:rsidRPr="00EC7633">
        <w:rPr>
          <w:rFonts w:ascii="Arial" w:hAnsi="Arial" w:cs="Arial"/>
          <w:u w:val="single"/>
        </w:rPr>
        <w:t>that</w:t>
      </w:r>
      <w:r w:rsidRPr="00EC7633">
        <w:rPr>
          <w:rFonts w:ascii="Arial" w:hAnsi="Arial" w:cs="Arial"/>
        </w:rPr>
        <w:t xml:space="preserve"> harm.</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xml:space="preserve">- Recent Appellate Court Decisions held that </w:t>
      </w:r>
      <w:r w:rsidRPr="00EC7633">
        <w:rPr>
          <w:rFonts w:ascii="Arial" w:hAnsi="Arial" w:cs="Arial"/>
          <w:u w:val="single"/>
        </w:rPr>
        <w:t>Haynes v. Middletown</w:t>
      </w:r>
      <w:r w:rsidRPr="00EC7633">
        <w:rPr>
          <w:rFonts w:ascii="Arial" w:hAnsi="Arial" w:cs="Arial"/>
        </w:rPr>
        <w:t xml:space="preserve">, 314 Conn. 303 (2014) changed the analysis of this exception, however, this is the most recent Appellate Court Decision on the issue and it puts </w:t>
      </w:r>
      <w:r w:rsidRPr="00EC7633">
        <w:rPr>
          <w:rFonts w:ascii="Arial" w:hAnsi="Arial" w:cs="Arial"/>
          <w:u w:val="single"/>
        </w:rPr>
        <w:t>Haynes</w:t>
      </w:r>
      <w:r w:rsidRPr="00EC7633">
        <w:rPr>
          <w:rFonts w:ascii="Arial" w:hAnsi="Arial" w:cs="Arial"/>
        </w:rPr>
        <w:t xml:space="preserve"> in its proper perspective:  </w:t>
      </w:r>
      <w:r w:rsidRPr="00EC7633">
        <w:rPr>
          <w:rFonts w:ascii="Arial" w:hAnsi="Arial" w:cs="Arial"/>
          <w:u w:val="single"/>
        </w:rPr>
        <w:t>Haynes v. Middletown</w:t>
      </w:r>
      <w:r w:rsidRPr="00EC7633">
        <w:rPr>
          <w:rFonts w:ascii="Arial" w:hAnsi="Arial" w:cs="Arial"/>
        </w:rPr>
        <w:t xml:space="preserve"> is useful, in non-school cases, as a source of the definition for “imminent harm”.</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Imminent harm exists if it “was apparent to the municipal Defendant that the dangerous condition was so likely to cause harm that the Defendant had a clear and unequivocal duty to act immediately to prevent the harm.”</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xml:space="preserve">- In </w:t>
      </w:r>
      <w:proofErr w:type="spellStart"/>
      <w:r w:rsidRPr="00EC7633">
        <w:rPr>
          <w:rFonts w:ascii="Arial" w:hAnsi="Arial" w:cs="Arial"/>
          <w:u w:val="single"/>
        </w:rPr>
        <w:t>Brusby</w:t>
      </w:r>
      <w:proofErr w:type="spellEnd"/>
      <w:r w:rsidRPr="00EC7633">
        <w:rPr>
          <w:rFonts w:ascii="Arial" w:hAnsi="Arial" w:cs="Arial"/>
        </w:rPr>
        <w:t xml:space="preserve"> case, Appellate Court held that Plaintiff was not subject to imminent harm because it was not apparent that the risk of harm was so great that the Defendant’s duty to act immediately to prevent the harm was clear and unequivocal.</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Court did, however, find that issue of fact existed as to whether or not the MDC was acting in a proprietary or pecuniary capacity, which would prevent its governmental immunity defense.</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Plaintiff asserted that the MDC was a water and sewer utility “engaged in proprietary conduct because they are making money in exchange for their water services.”  Court set forth the standard for this exception.</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If a municipality is acting only as the agent or representative of the state and carrying out its public purposes then it is clearly not deriving a special corporate benefit or pecuniary profit.</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A municipality may charge a nominal fee for participation in a governmental activity and that activity will not lose its governmental nature so long as the fee is insufficient to meet the activities expenses.</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A municipality generally has been deemed to be acting for his own special corporate benefit where it engages in an activity for the particular benefit of its own inhabitants; or if derives revenue in excess of its costs from the activity.</w:t>
      </w:r>
    </w:p>
    <w:p w:rsidR="00DA61AC" w:rsidRPr="00EC7633" w:rsidRDefault="00DA61AC" w:rsidP="00DA61AC">
      <w:pPr>
        <w:tabs>
          <w:tab w:val="left" w:pos="720"/>
          <w:tab w:val="left" w:pos="1440"/>
          <w:tab w:val="left" w:pos="4320"/>
        </w:tabs>
        <w:rPr>
          <w:rFonts w:ascii="Arial" w:hAnsi="Arial" w:cs="Arial"/>
        </w:rPr>
      </w:pP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If a municipality derives substantial revenue from its commercial use of municipal property it has been considered to be engaged in a proprietary function even if it re-invests that revenue back into the properties’ maintenance expenses or to pay down debt related to the property.</w:t>
      </w:r>
    </w:p>
    <w:p w:rsidR="00DA61AC" w:rsidRDefault="00DA61AC" w:rsidP="00DA61AC">
      <w:pPr>
        <w:tabs>
          <w:tab w:val="left" w:pos="720"/>
          <w:tab w:val="left" w:pos="1440"/>
          <w:tab w:val="left" w:pos="4320"/>
        </w:tabs>
        <w:rPr>
          <w:rFonts w:ascii="Arial" w:hAnsi="Arial" w:cs="Arial"/>
        </w:rPr>
      </w:pPr>
      <w:r w:rsidRPr="00EC7633">
        <w:rPr>
          <w:rFonts w:ascii="Arial" w:hAnsi="Arial" w:cs="Arial"/>
        </w:rPr>
        <w:tab/>
        <w:t xml:space="preserve">- Court held that an issue of fact existed as to the application of this pecuniary exception, noting that in </w:t>
      </w:r>
      <w:proofErr w:type="spellStart"/>
      <w:r w:rsidRPr="00EC7633">
        <w:rPr>
          <w:rFonts w:ascii="Arial" w:hAnsi="Arial" w:cs="Arial"/>
          <w:u w:val="single"/>
        </w:rPr>
        <w:t>Blonski</w:t>
      </w:r>
      <w:proofErr w:type="spellEnd"/>
      <w:r w:rsidRPr="00EC7633">
        <w:rPr>
          <w:rFonts w:ascii="Arial" w:hAnsi="Arial" w:cs="Arial"/>
          <w:u w:val="single"/>
        </w:rPr>
        <w:t xml:space="preserve"> v. MDC</w:t>
      </w:r>
      <w:r w:rsidRPr="00EC7633">
        <w:rPr>
          <w:rFonts w:ascii="Arial" w:hAnsi="Arial" w:cs="Arial"/>
        </w:rPr>
        <w:t>, governmental immunity was denied based on the MDC’s proprietary interest.</w:t>
      </w:r>
    </w:p>
    <w:p w:rsidR="00DA61AC" w:rsidRPr="00EC7633" w:rsidRDefault="00DA61AC" w:rsidP="00DA61AC">
      <w:pPr>
        <w:tabs>
          <w:tab w:val="left" w:pos="720"/>
          <w:tab w:val="left" w:pos="1440"/>
          <w:tab w:val="left" w:pos="4320"/>
        </w:tabs>
        <w:rPr>
          <w:rFonts w:ascii="Arial" w:hAnsi="Arial" w:cs="Arial"/>
        </w:rPr>
      </w:pPr>
    </w:p>
    <w:p w:rsidR="00DA61AC" w:rsidRPr="00EC7633" w:rsidRDefault="00DA61AC" w:rsidP="00DA61AC">
      <w:pPr>
        <w:tabs>
          <w:tab w:val="left" w:pos="720"/>
          <w:tab w:val="left" w:pos="1440"/>
          <w:tab w:val="left" w:pos="4320"/>
        </w:tabs>
        <w:rPr>
          <w:rFonts w:ascii="Arial" w:hAnsi="Arial" w:cs="Arial"/>
          <w:b/>
        </w:rPr>
      </w:pPr>
      <w:proofErr w:type="spellStart"/>
      <w:r w:rsidRPr="00EC7633">
        <w:rPr>
          <w:rFonts w:ascii="Arial" w:hAnsi="Arial" w:cs="Arial"/>
          <w:b/>
          <w:u w:val="single"/>
        </w:rPr>
        <w:t>Pramuka</w:t>
      </w:r>
      <w:proofErr w:type="spellEnd"/>
      <w:r w:rsidRPr="00EC7633">
        <w:rPr>
          <w:rFonts w:ascii="Arial" w:hAnsi="Arial" w:cs="Arial"/>
          <w:b/>
          <w:u w:val="single"/>
        </w:rPr>
        <w:t xml:space="preserve"> v. Town of Cromwell</w:t>
      </w:r>
      <w:r w:rsidRPr="00EC7633">
        <w:rPr>
          <w:rFonts w:ascii="Arial" w:hAnsi="Arial" w:cs="Arial"/>
          <w:b/>
        </w:rPr>
        <w:t>, 160 Conn. App. 863 (11-3-15)</w:t>
      </w:r>
    </w:p>
    <w:p w:rsidR="00DA61AC" w:rsidRPr="00EC7633" w:rsidRDefault="00DA61AC" w:rsidP="00DA61AC">
      <w:pPr>
        <w:tabs>
          <w:tab w:val="left" w:pos="720"/>
          <w:tab w:val="left" w:pos="1440"/>
          <w:tab w:val="left" w:pos="4320"/>
        </w:tabs>
        <w:rPr>
          <w:rFonts w:ascii="Arial" w:hAnsi="Arial" w:cs="Arial"/>
        </w:rPr>
      </w:pP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Plaintiff was walking on a paved walkway from a parking lot to an elementary school, to bring her granddaughter to school.  She fell on an uneven and cracked portion of the walkway and filed a defective highway claim pursuant to CGS 13a-149.</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Defendant moved for Summary Judgment asserting that the subject walkway was not within the ambit of 13a-149 as it did not extend to any public streets.</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Court granted Summary Judgment on that basis, however, Appellate Court has reversed.</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Courts will now be expanding the inquiry into the ambit of 13a-149.  It can no longer be assumed to be the public streets and the adjacent sidewalks.</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Defects in “roads” covered under the Defective Highway Act can include areas of parking lots where pedestrian travel is regular and anticipated.</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Also it extends to areas where a municipality invites or reasonably should expect the public to use a particular area that is not directly in the roadway but is necessary to travel on the roadway.</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Defective conditions located near the roadway, but in areas unintended for travel, are not within the ambit of the Defective Highway Act.</w:t>
      </w:r>
    </w:p>
    <w:p w:rsidR="00DA61AC" w:rsidRPr="00EC7633" w:rsidRDefault="00DA61AC" w:rsidP="00DA61AC">
      <w:pPr>
        <w:tabs>
          <w:tab w:val="left" w:pos="720"/>
          <w:tab w:val="left" w:pos="1440"/>
          <w:tab w:val="left" w:pos="4320"/>
        </w:tabs>
        <w:rPr>
          <w:rFonts w:ascii="Arial" w:hAnsi="Arial" w:cs="Arial"/>
        </w:rPr>
      </w:pPr>
      <w:r w:rsidRPr="00EC7633">
        <w:rPr>
          <w:rFonts w:ascii="Arial" w:hAnsi="Arial" w:cs="Arial"/>
        </w:rPr>
        <w:tab/>
        <w:t>- Message to the Trial Courts is to conduct case-by-case analyses of the particular circumstances before deciding whether the Defective Highway Act applies, and is an exclusive remedy, or whether suit should be brought pursuant to 52-557 and for failure to maintain premises.</w:t>
      </w:r>
    </w:p>
    <w:p w:rsidR="00DA61AC" w:rsidRDefault="00DA61AC" w:rsidP="00DA61AC">
      <w:pPr>
        <w:tabs>
          <w:tab w:val="left" w:pos="720"/>
          <w:tab w:val="left" w:pos="1440"/>
          <w:tab w:val="left" w:pos="4320"/>
        </w:tabs>
        <w:rPr>
          <w:rFonts w:ascii="Arial" w:hAnsi="Arial" w:cs="Arial"/>
        </w:rPr>
      </w:pPr>
      <w:r w:rsidRPr="00EC7633">
        <w:rPr>
          <w:rFonts w:ascii="Arial" w:hAnsi="Arial" w:cs="Arial"/>
        </w:rPr>
        <w:tab/>
        <w:t>- Court noted that the parking lot and driveways were on the property of a public school; however, whether they were open to the public, or contained sufficient restrictions that would limit their public availability could not be determined and Summary Judgment is reversed.</w:t>
      </w:r>
    </w:p>
    <w:p w:rsidR="00DA61AC" w:rsidRPr="00A3040D" w:rsidRDefault="00DA61AC" w:rsidP="00905AE9">
      <w:pPr>
        <w:tabs>
          <w:tab w:val="left" w:pos="720"/>
          <w:tab w:val="left" w:pos="1440"/>
          <w:tab w:val="left" w:pos="4320"/>
        </w:tabs>
        <w:jc w:val="center"/>
        <w:rPr>
          <w:rFonts w:ascii="Arial" w:hAnsi="Arial" w:cs="Arial"/>
          <w:u w:val="single"/>
        </w:rPr>
      </w:pPr>
    </w:p>
    <w:p w:rsidR="00A3040D" w:rsidRDefault="00A3040D" w:rsidP="00905AE9">
      <w:pPr>
        <w:jc w:val="center"/>
        <w:rPr>
          <w:rFonts w:ascii="Arial" w:hAnsi="Arial" w:cs="Arial"/>
          <w:b/>
          <w:u w:val="single"/>
        </w:rPr>
      </w:pPr>
      <w:r w:rsidRPr="00A3040D">
        <w:rPr>
          <w:rFonts w:ascii="Arial" w:hAnsi="Arial" w:cs="Arial"/>
          <w:b/>
          <w:u w:val="single"/>
        </w:rPr>
        <w:t>EMPLOYMENT LAW UPDATE</w:t>
      </w:r>
    </w:p>
    <w:p w:rsidR="00905AE9" w:rsidRPr="00905AE9" w:rsidRDefault="00905AE9" w:rsidP="00905AE9">
      <w:pPr>
        <w:jc w:val="center"/>
        <w:rPr>
          <w:rFonts w:ascii="Arial" w:hAnsi="Arial" w:cs="Arial"/>
          <w:b/>
        </w:rPr>
      </w:pPr>
      <w:r w:rsidRPr="00905AE9">
        <w:rPr>
          <w:rFonts w:ascii="Arial" w:hAnsi="Arial" w:cs="Arial"/>
          <w:b/>
        </w:rPr>
        <w:t xml:space="preserve">David S. Monastersky, Esq. -- </w:t>
      </w:r>
      <w:hyperlink r:id="rId7" w:history="1">
        <w:r w:rsidRPr="00905AE9">
          <w:rPr>
            <w:rStyle w:val="Hyperlink"/>
            <w:rFonts w:ascii="Arial" w:hAnsi="Arial" w:cs="Arial"/>
            <w:b/>
            <w:color w:val="auto"/>
            <w:u w:val="none"/>
          </w:rPr>
          <w:t>dmonastersky@hl-law.com</w:t>
        </w:r>
      </w:hyperlink>
    </w:p>
    <w:p w:rsidR="00905AE9" w:rsidRPr="00905AE9" w:rsidRDefault="00905AE9" w:rsidP="00905AE9">
      <w:pPr>
        <w:jc w:val="center"/>
        <w:rPr>
          <w:rFonts w:ascii="Arial" w:hAnsi="Arial" w:cs="Arial"/>
          <w:b/>
        </w:rPr>
      </w:pPr>
      <w:r w:rsidRPr="00905AE9">
        <w:rPr>
          <w:rFonts w:ascii="Arial" w:hAnsi="Arial" w:cs="Arial"/>
          <w:b/>
        </w:rPr>
        <w:t>Channez M. Rogers, Esq</w:t>
      </w:r>
      <w:proofErr w:type="gramStart"/>
      <w:r w:rsidRPr="00905AE9">
        <w:rPr>
          <w:rFonts w:ascii="Arial" w:hAnsi="Arial" w:cs="Arial"/>
          <w:b/>
        </w:rPr>
        <w:t>.--</w:t>
      </w:r>
      <w:proofErr w:type="gramEnd"/>
      <w:r w:rsidRPr="00905AE9">
        <w:rPr>
          <w:rFonts w:ascii="Arial" w:hAnsi="Arial" w:cs="Arial"/>
          <w:b/>
        </w:rPr>
        <w:t xml:space="preserve"> crogers@hl-law.com</w:t>
      </w:r>
    </w:p>
    <w:p w:rsidR="00A3040D" w:rsidRPr="00905AE9" w:rsidRDefault="00A3040D" w:rsidP="00A3040D">
      <w:pPr>
        <w:rPr>
          <w:rFonts w:ascii="Arial" w:hAnsi="Arial" w:cs="Arial"/>
          <w:b/>
        </w:rPr>
      </w:pPr>
    </w:p>
    <w:p w:rsidR="00A3040D" w:rsidRPr="00A3040D" w:rsidRDefault="00A3040D" w:rsidP="00A3040D">
      <w:pPr>
        <w:rPr>
          <w:rFonts w:ascii="Arial" w:hAnsi="Arial" w:cs="Arial"/>
          <w:b/>
        </w:rPr>
      </w:pPr>
      <w:r w:rsidRPr="00A3040D">
        <w:rPr>
          <w:rFonts w:ascii="Arial" w:hAnsi="Arial" w:cs="Arial"/>
          <w:b/>
        </w:rPr>
        <w:t>U.S. Equal Employment Opportunity Commission (“EEOC”) Guidance on Employer-Provided Leave and the Americans with Disabilities Act (“ADA”)</w:t>
      </w:r>
    </w:p>
    <w:p w:rsidR="00A3040D" w:rsidRPr="00A3040D" w:rsidRDefault="00A3040D" w:rsidP="00A3040D">
      <w:pPr>
        <w:rPr>
          <w:rFonts w:ascii="Arial" w:hAnsi="Arial" w:cs="Arial"/>
        </w:rPr>
      </w:pPr>
      <w:r w:rsidRPr="00A3040D">
        <w:rPr>
          <w:rFonts w:ascii="Arial" w:hAnsi="Arial" w:cs="Arial"/>
        </w:rPr>
        <w:tab/>
        <w:t>On May 9, 2016, the EEOC provided guidance on its interpretation of the obligations of employers to provide medical leave under the ADA.  In furtherance of the ADA’s provision that employees with disabilities be provided reasonable accommodations in order ensure such employees are afforded equal employment opportunities, the EEOC made it clear that such accommodations may also include employer-provided leaves of absence.  The EEOC recognized that a reasonable accommodation under the ADA can include modifications to existing leave policies and providing leave when needed for a disability, even where an employer does not offer leave to other employees.  An example of a change employers may be required to make to their existing leave policies includes modifying policies that limit the amount of leave employees can take when an employee needs additional leave as a reasonable accommodation.  Additionally, employer policies that require employees on extend leave to be "100% healed" or able to return to work without restrictions may deny employees reasonable accommodations that would enable them to return to work, in violation of the ADA.  Employers also should keep in mind that reassignment may be a reasonable accommodation for an employee with a disability who cannot return to his job following leave.</w:t>
      </w:r>
    </w:p>
    <w:p w:rsidR="00A3040D" w:rsidRPr="00A3040D" w:rsidRDefault="00A3040D" w:rsidP="00A3040D">
      <w:pPr>
        <w:rPr>
          <w:rFonts w:ascii="Arial" w:hAnsi="Arial" w:cs="Arial"/>
          <w:u w:val="single"/>
        </w:rPr>
      </w:pPr>
      <w:r w:rsidRPr="00A3040D">
        <w:rPr>
          <w:rFonts w:ascii="Arial" w:hAnsi="Arial" w:cs="Arial"/>
          <w:u w:val="single"/>
        </w:rPr>
        <w:t xml:space="preserve">Equal Access to Leave </w:t>
      </w:r>
      <w:proofErr w:type="gramStart"/>
      <w:r w:rsidRPr="00A3040D">
        <w:rPr>
          <w:rFonts w:ascii="Arial" w:hAnsi="Arial" w:cs="Arial"/>
          <w:u w:val="single"/>
        </w:rPr>
        <w:t>Under</w:t>
      </w:r>
      <w:proofErr w:type="gramEnd"/>
      <w:r w:rsidRPr="00A3040D">
        <w:rPr>
          <w:rFonts w:ascii="Arial" w:hAnsi="Arial" w:cs="Arial"/>
          <w:u w:val="single"/>
        </w:rPr>
        <w:t xml:space="preserve"> an Employer’s Existing Leave Policy</w:t>
      </w:r>
    </w:p>
    <w:p w:rsidR="00A3040D" w:rsidRPr="00A3040D" w:rsidRDefault="00A3040D" w:rsidP="00A3040D">
      <w:pPr>
        <w:ind w:firstLine="720"/>
        <w:rPr>
          <w:rFonts w:ascii="Arial" w:hAnsi="Arial" w:cs="Arial"/>
        </w:rPr>
      </w:pPr>
      <w:r w:rsidRPr="00A3040D">
        <w:rPr>
          <w:rFonts w:ascii="Arial" w:hAnsi="Arial" w:cs="Arial"/>
        </w:rPr>
        <w:t>In order to ensure compliance with the ADA, employers must provide employees with disabilities access to leave on the same basis as all other similarly-situated employees.  As such, if an employer receives a request for leave related to a disability and the leave falls within the employer’s existing leave policy, the employer should treat the employee requesting the leave the same as an employee who requests leave for reasons unrelated to a disability.</w:t>
      </w:r>
    </w:p>
    <w:p w:rsidR="00A3040D" w:rsidRPr="00A3040D" w:rsidRDefault="00A3040D" w:rsidP="00A3040D">
      <w:pPr>
        <w:rPr>
          <w:rFonts w:ascii="Arial" w:hAnsi="Arial" w:cs="Arial"/>
          <w:u w:val="single"/>
        </w:rPr>
      </w:pPr>
      <w:r w:rsidRPr="00A3040D">
        <w:rPr>
          <w:rFonts w:ascii="Arial" w:hAnsi="Arial" w:cs="Arial"/>
          <w:u w:val="single"/>
        </w:rPr>
        <w:t>Granting Leave as a Reasonable Accommodation</w:t>
      </w:r>
    </w:p>
    <w:p w:rsidR="00A3040D" w:rsidRPr="00A3040D" w:rsidRDefault="00A3040D" w:rsidP="00A3040D">
      <w:pPr>
        <w:ind w:firstLine="720"/>
        <w:rPr>
          <w:rFonts w:ascii="Arial" w:hAnsi="Arial" w:cs="Arial"/>
        </w:rPr>
      </w:pPr>
      <w:r w:rsidRPr="00A3040D">
        <w:rPr>
          <w:rFonts w:ascii="Arial" w:hAnsi="Arial" w:cs="Arial"/>
        </w:rPr>
        <w:t xml:space="preserve">In line with the ADA’s reasonable accommodation obligation, which requires employers to change the way things are customarily done to enable employees with disabilities to work, granting an employee leave where he would not ordinarily receive this benefit can qualify as a reasonable accommodation.  As set forth above, where an employee requests leave, which falls under an existing policy, an employer’s obligation under the ADA is to first ensure that employee has access to such policy on equal terms with similarly-situated employees.  Next, the employer must also consider providing </w:t>
      </w:r>
      <w:r w:rsidRPr="00A3040D">
        <w:rPr>
          <w:rFonts w:ascii="Arial" w:hAnsi="Arial" w:cs="Arial"/>
          <w:i/>
        </w:rPr>
        <w:t>unpaid</w:t>
      </w:r>
      <w:r w:rsidRPr="00A3040D">
        <w:rPr>
          <w:rFonts w:ascii="Arial" w:hAnsi="Arial" w:cs="Arial"/>
        </w:rPr>
        <w:t xml:space="preserve"> leave to an employee with a disability as a reasonable accommodation if the employee requires it, so long as it does not create an undue hardship for the employer.  This is the case even in the following situations:</w:t>
      </w:r>
    </w:p>
    <w:p w:rsidR="00A3040D" w:rsidRPr="00A3040D" w:rsidRDefault="00A3040D" w:rsidP="00A3040D">
      <w:pPr>
        <w:pStyle w:val="ListParagraph"/>
        <w:numPr>
          <w:ilvl w:val="0"/>
          <w:numId w:val="1"/>
        </w:numPr>
        <w:rPr>
          <w:rFonts w:ascii="Arial" w:hAnsi="Arial" w:cs="Arial"/>
          <w:sz w:val="24"/>
          <w:szCs w:val="24"/>
        </w:rPr>
      </w:pPr>
      <w:r w:rsidRPr="00A3040D">
        <w:rPr>
          <w:rFonts w:ascii="Arial" w:hAnsi="Arial" w:cs="Arial"/>
          <w:sz w:val="24"/>
          <w:szCs w:val="24"/>
        </w:rPr>
        <w:t>The employer does not offer leave as an employee benefit;</w:t>
      </w:r>
    </w:p>
    <w:p w:rsidR="00A3040D" w:rsidRPr="00A3040D" w:rsidRDefault="00A3040D" w:rsidP="00A3040D">
      <w:pPr>
        <w:pStyle w:val="ListParagraph"/>
        <w:numPr>
          <w:ilvl w:val="0"/>
          <w:numId w:val="1"/>
        </w:numPr>
        <w:rPr>
          <w:rFonts w:ascii="Arial" w:hAnsi="Arial" w:cs="Arial"/>
          <w:sz w:val="24"/>
          <w:szCs w:val="24"/>
        </w:rPr>
      </w:pPr>
      <w:r w:rsidRPr="00A3040D">
        <w:rPr>
          <w:rFonts w:ascii="Arial" w:hAnsi="Arial" w:cs="Arial"/>
          <w:sz w:val="24"/>
          <w:szCs w:val="24"/>
        </w:rPr>
        <w:t>The employee is not eligible for leave under the employer’s policy; or</w:t>
      </w:r>
    </w:p>
    <w:p w:rsidR="00A3040D" w:rsidRPr="00A3040D" w:rsidRDefault="00A3040D" w:rsidP="00A3040D">
      <w:pPr>
        <w:pStyle w:val="ListParagraph"/>
        <w:numPr>
          <w:ilvl w:val="0"/>
          <w:numId w:val="1"/>
        </w:numPr>
        <w:rPr>
          <w:rFonts w:ascii="Arial" w:hAnsi="Arial" w:cs="Arial"/>
          <w:sz w:val="24"/>
          <w:szCs w:val="24"/>
        </w:rPr>
      </w:pPr>
      <w:r w:rsidRPr="00A3040D">
        <w:rPr>
          <w:rFonts w:ascii="Arial" w:hAnsi="Arial" w:cs="Arial"/>
          <w:sz w:val="24"/>
          <w:szCs w:val="24"/>
        </w:rPr>
        <w:t>The employee has exhausted the leave the employer provides as a benefit (including leave provided in accordance with a workers’ compensation policy or FMLA).</w:t>
      </w:r>
    </w:p>
    <w:p w:rsidR="00A3040D" w:rsidRPr="00A3040D" w:rsidRDefault="00A3040D" w:rsidP="00A3040D">
      <w:pPr>
        <w:rPr>
          <w:rFonts w:ascii="Arial" w:hAnsi="Arial" w:cs="Arial"/>
        </w:rPr>
      </w:pPr>
      <w:r w:rsidRPr="00A3040D">
        <w:rPr>
          <w:rFonts w:ascii="Arial" w:hAnsi="Arial" w:cs="Arial"/>
        </w:rPr>
        <w:t>The ADA does not require an employer to provide</w:t>
      </w:r>
      <w:r w:rsidRPr="00A3040D">
        <w:rPr>
          <w:rFonts w:ascii="Arial" w:hAnsi="Arial" w:cs="Arial"/>
          <w:i/>
        </w:rPr>
        <w:t xml:space="preserve"> paid </w:t>
      </w:r>
      <w:r w:rsidRPr="00A3040D">
        <w:rPr>
          <w:rFonts w:ascii="Arial" w:hAnsi="Arial" w:cs="Arial"/>
        </w:rPr>
        <w:t xml:space="preserve">leave beyond what it provides as part of its paid leave policy.  </w:t>
      </w:r>
    </w:p>
    <w:p w:rsidR="00A3040D" w:rsidRPr="00A3040D" w:rsidRDefault="00A3040D" w:rsidP="00A3040D">
      <w:pPr>
        <w:rPr>
          <w:rFonts w:ascii="Arial" w:hAnsi="Arial" w:cs="Arial"/>
        </w:rPr>
      </w:pPr>
    </w:p>
    <w:p w:rsidR="00A3040D" w:rsidRPr="00A3040D" w:rsidRDefault="00A3040D" w:rsidP="00A3040D">
      <w:pPr>
        <w:rPr>
          <w:rFonts w:ascii="Arial" w:hAnsi="Arial" w:cs="Arial"/>
          <w:u w:val="single"/>
        </w:rPr>
      </w:pPr>
      <w:r w:rsidRPr="00A3040D">
        <w:rPr>
          <w:rFonts w:ascii="Arial" w:hAnsi="Arial" w:cs="Arial"/>
          <w:u w:val="single"/>
        </w:rPr>
        <w:t>Undue Hardship</w:t>
      </w:r>
    </w:p>
    <w:p w:rsidR="00A3040D" w:rsidRPr="00A3040D" w:rsidRDefault="00A3040D" w:rsidP="00A3040D">
      <w:pPr>
        <w:rPr>
          <w:rFonts w:ascii="Arial" w:hAnsi="Arial" w:cs="Arial"/>
        </w:rPr>
      </w:pPr>
      <w:r w:rsidRPr="00A3040D">
        <w:rPr>
          <w:rFonts w:ascii="Arial" w:hAnsi="Arial" w:cs="Arial"/>
        </w:rPr>
        <w:tab/>
        <w:t>When assessing whether to grant leave as a reasonable accommodation, the employer may consider whether doing so would cause an undue hardship, in which case the employer is not required to grant the leave.  Leave requested on an indefinite basis will constitute an undue hardship and is not considered a reasonable accommodation.  In considering whether providing leave would result in an undue hardship, employers may take into account the following factors:</w:t>
      </w:r>
    </w:p>
    <w:p w:rsidR="00A3040D" w:rsidRPr="00A3040D" w:rsidRDefault="00A3040D" w:rsidP="00A3040D">
      <w:pPr>
        <w:pStyle w:val="ListParagraph"/>
        <w:numPr>
          <w:ilvl w:val="0"/>
          <w:numId w:val="3"/>
        </w:numPr>
        <w:rPr>
          <w:rFonts w:ascii="Arial" w:hAnsi="Arial" w:cs="Arial"/>
          <w:sz w:val="24"/>
          <w:szCs w:val="24"/>
        </w:rPr>
      </w:pPr>
      <w:r w:rsidRPr="00A3040D">
        <w:rPr>
          <w:rFonts w:ascii="Arial" w:hAnsi="Arial" w:cs="Arial"/>
          <w:sz w:val="24"/>
          <w:szCs w:val="24"/>
        </w:rPr>
        <w:t>The amount or length of leave required;</w:t>
      </w:r>
    </w:p>
    <w:p w:rsidR="00A3040D" w:rsidRPr="00A3040D" w:rsidRDefault="00A3040D" w:rsidP="00A3040D">
      <w:pPr>
        <w:pStyle w:val="ListParagraph"/>
        <w:numPr>
          <w:ilvl w:val="0"/>
          <w:numId w:val="3"/>
        </w:numPr>
        <w:rPr>
          <w:rFonts w:ascii="Arial" w:hAnsi="Arial" w:cs="Arial"/>
          <w:sz w:val="24"/>
          <w:szCs w:val="24"/>
        </w:rPr>
      </w:pPr>
      <w:r w:rsidRPr="00A3040D">
        <w:rPr>
          <w:rFonts w:ascii="Arial" w:hAnsi="Arial" w:cs="Arial"/>
          <w:sz w:val="24"/>
          <w:szCs w:val="24"/>
        </w:rPr>
        <w:t>The frequency of the leave;</w:t>
      </w:r>
    </w:p>
    <w:p w:rsidR="00A3040D" w:rsidRPr="00A3040D" w:rsidRDefault="00A3040D" w:rsidP="00A3040D">
      <w:pPr>
        <w:pStyle w:val="ListParagraph"/>
        <w:numPr>
          <w:ilvl w:val="0"/>
          <w:numId w:val="3"/>
        </w:numPr>
        <w:rPr>
          <w:rFonts w:ascii="Arial" w:hAnsi="Arial" w:cs="Arial"/>
          <w:sz w:val="24"/>
          <w:szCs w:val="24"/>
        </w:rPr>
      </w:pPr>
      <w:r w:rsidRPr="00A3040D">
        <w:rPr>
          <w:rFonts w:ascii="Arial" w:hAnsi="Arial" w:cs="Arial"/>
          <w:sz w:val="24"/>
          <w:szCs w:val="24"/>
        </w:rPr>
        <w:t>Whether there is any flexibility with respect to the days on which leave is taken;</w:t>
      </w:r>
    </w:p>
    <w:p w:rsidR="00A3040D" w:rsidRPr="00A3040D" w:rsidRDefault="00A3040D" w:rsidP="00A3040D">
      <w:pPr>
        <w:pStyle w:val="ListParagraph"/>
        <w:numPr>
          <w:ilvl w:val="0"/>
          <w:numId w:val="3"/>
        </w:numPr>
        <w:rPr>
          <w:rFonts w:ascii="Arial" w:hAnsi="Arial" w:cs="Arial"/>
          <w:sz w:val="24"/>
          <w:szCs w:val="24"/>
        </w:rPr>
      </w:pPr>
      <w:r w:rsidRPr="00A3040D">
        <w:rPr>
          <w:rFonts w:ascii="Arial" w:hAnsi="Arial" w:cs="Arial"/>
          <w:sz w:val="24"/>
          <w:szCs w:val="24"/>
        </w:rPr>
        <w:t>Whether the need for intermittent leave on specific dates is predictable or unpredictable;</w:t>
      </w:r>
    </w:p>
    <w:p w:rsidR="00A3040D" w:rsidRPr="00A3040D" w:rsidRDefault="00A3040D" w:rsidP="00A3040D">
      <w:pPr>
        <w:pStyle w:val="ListParagraph"/>
        <w:numPr>
          <w:ilvl w:val="0"/>
          <w:numId w:val="3"/>
        </w:numPr>
        <w:rPr>
          <w:rFonts w:ascii="Arial" w:hAnsi="Arial" w:cs="Arial"/>
          <w:sz w:val="24"/>
          <w:szCs w:val="24"/>
        </w:rPr>
      </w:pPr>
      <w:r w:rsidRPr="00A3040D">
        <w:rPr>
          <w:rFonts w:ascii="Arial" w:hAnsi="Arial" w:cs="Arial"/>
          <w:sz w:val="24"/>
          <w:szCs w:val="24"/>
        </w:rPr>
        <w:t>The impact of the employee’s absence on coworkers and on whether specific job duties are being performed in an appropriate and timely manner; and</w:t>
      </w:r>
    </w:p>
    <w:p w:rsidR="00A3040D" w:rsidRPr="00A3040D" w:rsidRDefault="00A3040D" w:rsidP="00A3040D">
      <w:pPr>
        <w:pStyle w:val="ListParagraph"/>
        <w:numPr>
          <w:ilvl w:val="0"/>
          <w:numId w:val="3"/>
        </w:numPr>
        <w:rPr>
          <w:rFonts w:ascii="Arial" w:hAnsi="Arial" w:cs="Arial"/>
          <w:sz w:val="24"/>
          <w:szCs w:val="24"/>
        </w:rPr>
      </w:pPr>
      <w:r w:rsidRPr="00A3040D">
        <w:rPr>
          <w:rFonts w:ascii="Arial" w:hAnsi="Arial" w:cs="Arial"/>
          <w:sz w:val="24"/>
          <w:szCs w:val="24"/>
        </w:rPr>
        <w:t>The impact on the employer’s operations and its ability to serve customers appropriately and in a timely manner, which takes into account the size of the employer.</w:t>
      </w:r>
    </w:p>
    <w:p w:rsidR="00A3040D" w:rsidRPr="00A3040D" w:rsidRDefault="00A3040D" w:rsidP="00A3040D">
      <w:pPr>
        <w:rPr>
          <w:rFonts w:ascii="Arial" w:hAnsi="Arial" w:cs="Arial"/>
          <w:u w:val="single"/>
        </w:rPr>
      </w:pPr>
      <w:r w:rsidRPr="00A3040D">
        <w:rPr>
          <w:rFonts w:ascii="Arial" w:hAnsi="Arial" w:cs="Arial"/>
          <w:u w:val="single"/>
        </w:rPr>
        <w:t>Leave and the Interactive Process</w:t>
      </w:r>
    </w:p>
    <w:p w:rsidR="00A3040D" w:rsidRPr="00A3040D" w:rsidRDefault="00A3040D" w:rsidP="00A3040D">
      <w:pPr>
        <w:rPr>
          <w:rFonts w:ascii="Arial" w:hAnsi="Arial" w:cs="Arial"/>
        </w:rPr>
      </w:pPr>
      <w:r w:rsidRPr="00A3040D">
        <w:rPr>
          <w:rFonts w:ascii="Arial" w:hAnsi="Arial" w:cs="Arial"/>
        </w:rPr>
        <w:tab/>
        <w:t>When an employee requests leave or additional leave for a medical condition, the employer must treat this request as a one for a reasonable accommodation under the ADA.  If the request for leave can be addressed by the employer’s workers’ compensation program or FMLA policy, the employer may provide leave under those programs.  However, if the leave cannot be granted under any other program, the employer should “engage in the interactive process” with the employee in order to obtain relevant information to determine the feasibility of providing the leave as a reasonable accommodation if it would not result in an “undue hardship” for the employer.  When engaging in the interactive process, the employer should focus on the following issues:</w:t>
      </w:r>
    </w:p>
    <w:p w:rsidR="00A3040D" w:rsidRPr="00A3040D" w:rsidRDefault="00A3040D" w:rsidP="00A3040D">
      <w:pPr>
        <w:pStyle w:val="ListParagraph"/>
        <w:numPr>
          <w:ilvl w:val="0"/>
          <w:numId w:val="2"/>
        </w:numPr>
        <w:rPr>
          <w:rFonts w:ascii="Arial" w:hAnsi="Arial" w:cs="Arial"/>
          <w:sz w:val="24"/>
          <w:szCs w:val="24"/>
        </w:rPr>
      </w:pPr>
      <w:r w:rsidRPr="00A3040D">
        <w:rPr>
          <w:rFonts w:ascii="Arial" w:hAnsi="Arial" w:cs="Arial"/>
          <w:sz w:val="24"/>
          <w:szCs w:val="24"/>
        </w:rPr>
        <w:t>The specific reason(s) the employee needs leave;</w:t>
      </w:r>
    </w:p>
    <w:p w:rsidR="00A3040D" w:rsidRPr="00A3040D" w:rsidRDefault="00A3040D" w:rsidP="00A3040D">
      <w:pPr>
        <w:pStyle w:val="ListParagraph"/>
        <w:numPr>
          <w:ilvl w:val="0"/>
          <w:numId w:val="2"/>
        </w:numPr>
        <w:rPr>
          <w:rFonts w:ascii="Arial" w:hAnsi="Arial" w:cs="Arial"/>
          <w:sz w:val="24"/>
          <w:szCs w:val="24"/>
        </w:rPr>
      </w:pPr>
      <w:r w:rsidRPr="00A3040D">
        <w:rPr>
          <w:rFonts w:ascii="Arial" w:hAnsi="Arial" w:cs="Arial"/>
          <w:sz w:val="24"/>
          <w:szCs w:val="24"/>
        </w:rPr>
        <w:t>Whether the leave will be for a block of time or intermittent; and</w:t>
      </w:r>
    </w:p>
    <w:p w:rsidR="00A3040D" w:rsidRPr="00A3040D" w:rsidRDefault="00A3040D" w:rsidP="00A3040D">
      <w:pPr>
        <w:pStyle w:val="ListParagraph"/>
        <w:numPr>
          <w:ilvl w:val="0"/>
          <w:numId w:val="2"/>
        </w:numPr>
        <w:rPr>
          <w:rFonts w:ascii="Arial" w:hAnsi="Arial" w:cs="Arial"/>
          <w:sz w:val="24"/>
          <w:szCs w:val="24"/>
        </w:rPr>
      </w:pPr>
      <w:r w:rsidRPr="00A3040D">
        <w:rPr>
          <w:rFonts w:ascii="Arial" w:hAnsi="Arial" w:cs="Arial"/>
          <w:sz w:val="24"/>
          <w:szCs w:val="24"/>
        </w:rPr>
        <w:t>When the leave will end.</w:t>
      </w:r>
    </w:p>
    <w:p w:rsidR="00A3040D" w:rsidRPr="00A3040D" w:rsidRDefault="00A3040D" w:rsidP="00A3040D">
      <w:pPr>
        <w:rPr>
          <w:rFonts w:ascii="Arial" w:hAnsi="Arial" w:cs="Arial"/>
        </w:rPr>
      </w:pPr>
      <w:r w:rsidRPr="00A3040D">
        <w:rPr>
          <w:rFonts w:ascii="Arial" w:hAnsi="Arial" w:cs="Arial"/>
        </w:rPr>
        <w:t>An employer may also receive permission from the employee to obtain information from the employee’s medical provider to confirm or elaborate on the information provided by the employee or respond to questions designed to enable the employer to understand the need for the leave and whether reasonable accommodations other than or in addition to leave may be effective.</w:t>
      </w:r>
    </w:p>
    <w:p w:rsidR="00A3040D" w:rsidRPr="00A3040D" w:rsidRDefault="00A3040D" w:rsidP="00A3040D">
      <w:pPr>
        <w:rPr>
          <w:rFonts w:ascii="Arial" w:hAnsi="Arial" w:cs="Arial"/>
        </w:rPr>
      </w:pPr>
      <w:r w:rsidRPr="00A3040D">
        <w:rPr>
          <w:rFonts w:ascii="Arial" w:hAnsi="Arial" w:cs="Arial"/>
        </w:rPr>
        <w:tab/>
        <w:t>The interactive process may continue past the initial request for leave, even after it has been granted, particularly if the employee’s request did not specific an exact or fairly specific return date or in situations where the employee requires leave beyond what was originally granted.  An employer that has granted leave with a fixed return date may not ask the employee to provide periodic updates.  However, employers may reach out of an employee on extended leave to check on the employee’s progress.</w:t>
      </w:r>
    </w:p>
    <w:p w:rsidR="00A3040D" w:rsidRPr="00A3040D" w:rsidRDefault="00A3040D" w:rsidP="00A3040D">
      <w:pPr>
        <w:rPr>
          <w:rFonts w:ascii="Arial" w:hAnsi="Arial" w:cs="Arial"/>
          <w:u w:val="single"/>
        </w:rPr>
      </w:pPr>
      <w:r w:rsidRPr="00A3040D">
        <w:rPr>
          <w:rFonts w:ascii="Arial" w:hAnsi="Arial" w:cs="Arial"/>
          <w:u w:val="single"/>
        </w:rPr>
        <w:t>Maximum Leave Policies</w:t>
      </w:r>
    </w:p>
    <w:p w:rsidR="00A3040D" w:rsidRPr="00A3040D" w:rsidRDefault="00A3040D" w:rsidP="00A3040D">
      <w:pPr>
        <w:rPr>
          <w:rFonts w:ascii="Arial" w:hAnsi="Arial" w:cs="Arial"/>
        </w:rPr>
      </w:pPr>
      <w:r w:rsidRPr="00A3040D">
        <w:rPr>
          <w:rFonts w:ascii="Arial" w:hAnsi="Arial" w:cs="Arial"/>
        </w:rPr>
        <w:tab/>
        <w:t>A common maximum leave policy, especially for entities covered by the FMLA, is a flat limit of 12 weeks for both extended and intermittent leave.  Other maximum leave policies may have higher or lower caps on leave and some may limit unplanned absences.  Although employees with disabilities are not exempt from these policies, an employer may need to consider modifying such policies as a reasonable accommodation for absences related to a disability, unless doing so would cause an undue hardship to the employer.</w:t>
      </w:r>
    </w:p>
    <w:p w:rsidR="00A3040D" w:rsidRPr="00A3040D" w:rsidRDefault="00A3040D" w:rsidP="00A3040D">
      <w:pPr>
        <w:rPr>
          <w:rFonts w:ascii="Arial" w:hAnsi="Arial" w:cs="Arial"/>
        </w:rPr>
      </w:pPr>
      <w:r w:rsidRPr="00A3040D">
        <w:rPr>
          <w:rFonts w:ascii="Arial" w:hAnsi="Arial" w:cs="Arial"/>
        </w:rPr>
        <w:tab/>
        <w:t>It is common for employers to communicate with employees nearing the end of their leave via a form letter which provides that the employee must return to work by a certain date or face termination or other discipline.  Employers should consider modifying such communications to include a narrative stating that if an employee needs additional unpaid leave as a reasonable accommodation for a disability, he should ask for it as soon as possible so the employer can consider whether it can grant an extension without causing undue hardship.  If an employee requests an extension that will exceed the maximum leave policy, the employer may engage in the interactive process and request relevant information to determine whether it can provide that accommodation without it resulting in an undue hardship.</w:t>
      </w:r>
    </w:p>
    <w:p w:rsidR="00A3040D" w:rsidRPr="00A3040D" w:rsidRDefault="00A3040D" w:rsidP="00A3040D">
      <w:pPr>
        <w:rPr>
          <w:rFonts w:ascii="Arial" w:hAnsi="Arial" w:cs="Arial"/>
          <w:u w:val="single"/>
        </w:rPr>
      </w:pPr>
      <w:r w:rsidRPr="00A3040D">
        <w:rPr>
          <w:rFonts w:ascii="Arial" w:hAnsi="Arial" w:cs="Arial"/>
          <w:u w:val="single"/>
        </w:rPr>
        <w:t>Return to Work and Reasonable Accommodations</w:t>
      </w:r>
    </w:p>
    <w:p w:rsidR="00A3040D" w:rsidRPr="00A3040D" w:rsidRDefault="00A3040D" w:rsidP="00A3040D">
      <w:pPr>
        <w:rPr>
          <w:rFonts w:ascii="Arial" w:hAnsi="Arial" w:cs="Arial"/>
        </w:rPr>
      </w:pPr>
      <w:r w:rsidRPr="00A3040D">
        <w:rPr>
          <w:rFonts w:ascii="Arial" w:hAnsi="Arial" w:cs="Arial"/>
        </w:rPr>
        <w:tab/>
        <w:t>Following an injury or illness, an employee may request accommodations to return to work himself or via a doctor’s note releasing the employee to return to work with certain restrictions.  If an employee returns from a leave of absence with restrictions from his doctor, the employer should engage in the interactive process with the employee.  The employer may ask why the restrictions are required and how long they may be needed, as well as explore possible accommodations that will enable the employee to perform the essential functions of his job consistent with the limitations set forth by the employee’s doctor.</w:t>
      </w:r>
    </w:p>
    <w:p w:rsidR="00A3040D" w:rsidRPr="00A3040D" w:rsidRDefault="00A3040D" w:rsidP="00A3040D">
      <w:pPr>
        <w:rPr>
          <w:rFonts w:ascii="Arial" w:hAnsi="Arial" w:cs="Arial"/>
        </w:rPr>
      </w:pPr>
      <w:r w:rsidRPr="00A3040D">
        <w:rPr>
          <w:rFonts w:ascii="Arial" w:hAnsi="Arial" w:cs="Arial"/>
        </w:rPr>
        <w:tab/>
        <w:t xml:space="preserve">Employers are in violation of the ADA if they have policies in place that require an individual with a disability to have no medical restrictions, and therefore, be “100% healed or recovered,” if the employee can perform his job with or without a reasonable accommodation, unless the employee can show that providing the requested accommodations would cause an undue hardship.  </w:t>
      </w:r>
    </w:p>
    <w:p w:rsidR="00A3040D" w:rsidRPr="00A3040D" w:rsidRDefault="00A3040D" w:rsidP="00A3040D">
      <w:pPr>
        <w:rPr>
          <w:rFonts w:ascii="Arial" w:hAnsi="Arial" w:cs="Arial"/>
        </w:rPr>
      </w:pPr>
      <w:r w:rsidRPr="00A3040D">
        <w:rPr>
          <w:rFonts w:ascii="Arial" w:hAnsi="Arial" w:cs="Arial"/>
        </w:rPr>
        <w:tab/>
        <w:t>Likewise, an employer is in violation of the ADA if it claims an employee with medical restrictions poses a safety risk, but cannot show that the individual is a “direct threat.”  Under the ADA, a “direct threat” means that the employee’s disability poses a significant risk of substantial harm.  If an employee’s disability poses a direct threat, an employer must consider whether reasonable accommodation will eliminate or diminish the direct threat.</w:t>
      </w:r>
    </w:p>
    <w:p w:rsidR="00A3040D" w:rsidRPr="00A3040D" w:rsidRDefault="00A3040D" w:rsidP="00A3040D">
      <w:pPr>
        <w:rPr>
          <w:rFonts w:ascii="Arial" w:hAnsi="Arial" w:cs="Arial"/>
        </w:rPr>
      </w:pPr>
      <w:r w:rsidRPr="00A3040D">
        <w:rPr>
          <w:rFonts w:ascii="Arial" w:hAnsi="Arial" w:cs="Arial"/>
        </w:rPr>
        <w:tab/>
        <w:t>In some situations, an employee may request reassignment to a new job as an accommodation because the disability prevents the employee from performing one or more of the essential functions of his current job even with a reasonable accommodation or because any accommodation in the current job would result in undue hardship to the employer.  The EEOC takes the position that if reassignment is required, an employer must place the employee in a vacant position for which he is qualified, without requiring the employee to compete with other applications for open positions.  However reassignment does not include promotion, and generally, an employer does not have to place an employee in a vacant position as a reasonable accommodation when another employee is entitled to the position under a uniformly-applied seniority system.</w:t>
      </w:r>
    </w:p>
    <w:p w:rsidR="00A3040D" w:rsidRPr="00A3040D" w:rsidRDefault="00A3040D" w:rsidP="00A3040D">
      <w:pPr>
        <w:rPr>
          <w:rFonts w:ascii="Arial" w:hAnsi="Arial" w:cs="Arial"/>
        </w:rPr>
      </w:pPr>
    </w:p>
    <w:p w:rsidR="00A3040D" w:rsidRPr="00A3040D" w:rsidRDefault="00A3040D" w:rsidP="00A3040D">
      <w:pPr>
        <w:rPr>
          <w:rFonts w:ascii="Arial" w:hAnsi="Arial" w:cs="Arial"/>
          <w:u w:val="single"/>
        </w:rPr>
      </w:pPr>
      <w:r w:rsidRPr="00A3040D">
        <w:rPr>
          <w:rFonts w:ascii="Arial" w:hAnsi="Arial" w:cs="Arial"/>
          <w:u w:val="single"/>
        </w:rPr>
        <w:t>Other Consideration</w:t>
      </w:r>
    </w:p>
    <w:p w:rsidR="00A3040D" w:rsidRPr="00A3040D" w:rsidRDefault="00A3040D" w:rsidP="00A3040D">
      <w:pPr>
        <w:rPr>
          <w:rFonts w:ascii="Arial" w:hAnsi="Arial" w:cs="Arial"/>
        </w:rPr>
      </w:pPr>
      <w:r w:rsidRPr="00A3040D">
        <w:rPr>
          <w:rFonts w:ascii="Arial" w:hAnsi="Arial" w:cs="Arial"/>
        </w:rPr>
        <w:tab/>
        <w:t>Please remember that employers have other obligation under the Family Medical Leave Act and Connecticut’s Paid Sick Time law.</w:t>
      </w:r>
    </w:p>
    <w:p w:rsidR="00A3040D" w:rsidRDefault="00A3040D" w:rsidP="00A3040D">
      <w:pPr>
        <w:rPr>
          <w:rFonts w:ascii="Arial" w:hAnsi="Arial" w:cs="Arial"/>
        </w:rPr>
      </w:pPr>
      <w:r w:rsidRPr="00A3040D">
        <w:rPr>
          <w:rFonts w:ascii="Arial" w:hAnsi="Arial" w:cs="Arial"/>
        </w:rPr>
        <w:tab/>
        <w:t xml:space="preserve">For more information on the EEOC guidance on employer-provided leave, see </w:t>
      </w:r>
      <w:hyperlink r:id="rId8" w:history="1">
        <w:r w:rsidRPr="00A3040D">
          <w:rPr>
            <w:rStyle w:val="Hyperlink"/>
            <w:rFonts w:ascii="Arial" w:hAnsi="Arial" w:cs="Arial"/>
          </w:rPr>
          <w:t>https://www.eeoc.gov/eeoc/publications/ada-leave.cfm</w:t>
        </w:r>
      </w:hyperlink>
      <w:r w:rsidRPr="00A3040D">
        <w:rPr>
          <w:rFonts w:ascii="Arial" w:hAnsi="Arial" w:cs="Arial"/>
        </w:rPr>
        <w:t>.</w:t>
      </w:r>
    </w:p>
    <w:p w:rsidR="00A3040D" w:rsidRPr="00A3040D" w:rsidRDefault="00A3040D" w:rsidP="00A3040D">
      <w:pPr>
        <w:rPr>
          <w:rFonts w:ascii="Arial" w:hAnsi="Arial" w:cs="Arial"/>
        </w:rPr>
      </w:pPr>
    </w:p>
    <w:p w:rsidR="00A3040D" w:rsidRPr="00A3040D" w:rsidRDefault="00A3040D" w:rsidP="00A3040D">
      <w:pPr>
        <w:rPr>
          <w:rFonts w:ascii="Arial" w:hAnsi="Arial" w:cs="Arial"/>
        </w:rPr>
      </w:pPr>
    </w:p>
    <w:p w:rsidR="00A3040D" w:rsidRPr="00A3040D" w:rsidRDefault="00A3040D" w:rsidP="00A3040D">
      <w:pPr>
        <w:rPr>
          <w:rFonts w:ascii="Arial" w:hAnsi="Arial" w:cs="Arial"/>
          <w:b/>
        </w:rPr>
      </w:pPr>
      <w:r w:rsidRPr="00A3040D">
        <w:rPr>
          <w:rFonts w:ascii="Arial" w:hAnsi="Arial" w:cs="Arial"/>
          <w:b/>
        </w:rPr>
        <w:t>Employee Payroll Cards</w:t>
      </w:r>
    </w:p>
    <w:p w:rsidR="00A3040D" w:rsidRPr="00A3040D" w:rsidRDefault="00A3040D" w:rsidP="00A3040D">
      <w:pPr>
        <w:rPr>
          <w:rFonts w:ascii="Arial" w:hAnsi="Arial" w:cs="Arial"/>
        </w:rPr>
      </w:pPr>
      <w:r w:rsidRPr="00A3040D">
        <w:rPr>
          <w:rFonts w:ascii="Arial" w:hAnsi="Arial" w:cs="Arial"/>
        </w:rPr>
        <w:tab/>
        <w:t xml:space="preserve">Connecticut has authorized employers to pay employee wages via “payroll cards,” provided certain conditions are met: An employee must voluntarily and expressly authorize, either in writing or electronically, that he wishes to be paid with a payroll card.  As such, the employee must agree that he wishes to be paid via a payroll card without any fear of discharge or reprisal from his employer.  Employers are prohibited from requiring employees accept payroll cards in lieu of wages as a condition of employment.  The following additional requirements must be met should employers wish to implement payroll cards: </w:t>
      </w:r>
    </w:p>
    <w:p w:rsidR="00A3040D" w:rsidRPr="00A3040D" w:rsidRDefault="00A3040D" w:rsidP="00A3040D">
      <w:pPr>
        <w:pStyle w:val="ListParagraph"/>
        <w:numPr>
          <w:ilvl w:val="0"/>
          <w:numId w:val="4"/>
        </w:numPr>
        <w:rPr>
          <w:rFonts w:ascii="Arial" w:hAnsi="Arial" w:cs="Arial"/>
          <w:sz w:val="24"/>
          <w:szCs w:val="24"/>
        </w:rPr>
      </w:pPr>
      <w:r w:rsidRPr="00A3040D">
        <w:rPr>
          <w:rFonts w:ascii="Arial" w:hAnsi="Arial" w:cs="Arial"/>
          <w:sz w:val="24"/>
          <w:szCs w:val="24"/>
        </w:rPr>
        <w:t>Employers must give employees the option to be paid by check or through direct deposit;</w:t>
      </w:r>
    </w:p>
    <w:p w:rsidR="00A3040D" w:rsidRPr="00A3040D" w:rsidRDefault="00A3040D" w:rsidP="00A3040D">
      <w:pPr>
        <w:pStyle w:val="ListParagraph"/>
        <w:numPr>
          <w:ilvl w:val="0"/>
          <w:numId w:val="4"/>
        </w:numPr>
        <w:rPr>
          <w:rFonts w:ascii="Arial" w:hAnsi="Arial" w:cs="Arial"/>
          <w:sz w:val="24"/>
          <w:szCs w:val="24"/>
        </w:rPr>
      </w:pPr>
      <w:r w:rsidRPr="00A3040D">
        <w:rPr>
          <w:rFonts w:ascii="Arial" w:hAnsi="Arial" w:cs="Arial"/>
          <w:sz w:val="24"/>
          <w:szCs w:val="24"/>
        </w:rPr>
        <w:t>The payroll card must be associated with an ATM network that ensures the availability of a substantial number of in-network ATMs in the state;</w:t>
      </w:r>
    </w:p>
    <w:p w:rsidR="00A3040D" w:rsidRPr="00A3040D" w:rsidRDefault="00A3040D" w:rsidP="00A3040D">
      <w:pPr>
        <w:pStyle w:val="ListParagraph"/>
        <w:numPr>
          <w:ilvl w:val="0"/>
          <w:numId w:val="4"/>
        </w:numPr>
        <w:rPr>
          <w:rFonts w:ascii="Arial" w:hAnsi="Arial" w:cs="Arial"/>
          <w:sz w:val="24"/>
          <w:szCs w:val="24"/>
        </w:rPr>
      </w:pPr>
      <w:r w:rsidRPr="00A3040D">
        <w:rPr>
          <w:rFonts w:ascii="Arial" w:hAnsi="Arial" w:cs="Arial"/>
          <w:sz w:val="24"/>
          <w:szCs w:val="24"/>
        </w:rPr>
        <w:t>Employees must be able to make a least three free withdrawals per pay period; and</w:t>
      </w:r>
    </w:p>
    <w:p w:rsidR="00A3040D" w:rsidRPr="00A3040D" w:rsidRDefault="00A3040D" w:rsidP="00A3040D">
      <w:pPr>
        <w:pStyle w:val="ListParagraph"/>
        <w:numPr>
          <w:ilvl w:val="0"/>
          <w:numId w:val="4"/>
        </w:numPr>
        <w:rPr>
          <w:rFonts w:ascii="Arial" w:hAnsi="Arial" w:cs="Arial"/>
          <w:sz w:val="24"/>
          <w:szCs w:val="24"/>
        </w:rPr>
      </w:pPr>
      <w:r w:rsidRPr="00A3040D">
        <w:rPr>
          <w:rFonts w:ascii="Arial" w:hAnsi="Arial" w:cs="Arial"/>
          <w:sz w:val="24"/>
          <w:szCs w:val="24"/>
        </w:rPr>
        <w:t>None of the employer’s costs for using payroll cards can be passed on to its employee</w:t>
      </w:r>
    </w:p>
    <w:p w:rsidR="00A3040D" w:rsidRPr="00A3040D" w:rsidRDefault="00A3040D" w:rsidP="00A3040D">
      <w:pPr>
        <w:rPr>
          <w:rFonts w:ascii="Arial" w:hAnsi="Arial" w:cs="Arial"/>
        </w:rPr>
      </w:pPr>
    </w:p>
    <w:p w:rsidR="00A3040D" w:rsidRPr="00A3040D" w:rsidRDefault="00A3040D" w:rsidP="00A3040D">
      <w:pPr>
        <w:rPr>
          <w:rFonts w:ascii="Arial" w:hAnsi="Arial" w:cs="Arial"/>
          <w:b/>
        </w:rPr>
      </w:pPr>
      <w:r w:rsidRPr="00A3040D">
        <w:rPr>
          <w:rFonts w:ascii="Arial" w:hAnsi="Arial" w:cs="Arial"/>
          <w:b/>
        </w:rPr>
        <w:t>Connecticut “Bans the Box”</w:t>
      </w:r>
    </w:p>
    <w:p w:rsidR="00A3040D" w:rsidRPr="00A3040D" w:rsidRDefault="00A3040D" w:rsidP="00A3040D">
      <w:pPr>
        <w:rPr>
          <w:rFonts w:ascii="Arial" w:hAnsi="Arial" w:cs="Arial"/>
        </w:rPr>
      </w:pPr>
      <w:r w:rsidRPr="00A3040D">
        <w:rPr>
          <w:rFonts w:ascii="Arial" w:hAnsi="Arial" w:cs="Arial"/>
        </w:rPr>
        <w:tab/>
        <w:t xml:space="preserve">Effective January 1, 2017, Connecticut’s “Ban the Box” law goes into effect prohibiting employers from requesting criminal history information on an initial employment application in most circumstance. </w:t>
      </w:r>
      <w:proofErr w:type="gramStart"/>
      <w:r w:rsidRPr="00A3040D">
        <w:rPr>
          <w:rFonts w:ascii="Arial" w:hAnsi="Arial" w:cs="Arial"/>
        </w:rPr>
        <w:t>including</w:t>
      </w:r>
      <w:proofErr w:type="gramEnd"/>
      <w:r w:rsidRPr="00A3040D">
        <w:rPr>
          <w:rFonts w:ascii="Arial" w:hAnsi="Arial" w:cs="Arial"/>
        </w:rPr>
        <w:t xml:space="preserve"> political subdivisions of the state.  </w:t>
      </w:r>
    </w:p>
    <w:p w:rsidR="00A3040D" w:rsidRPr="00A3040D" w:rsidRDefault="00A3040D" w:rsidP="00A3040D">
      <w:pPr>
        <w:rPr>
          <w:rFonts w:ascii="Arial" w:hAnsi="Arial" w:cs="Arial"/>
        </w:rPr>
      </w:pPr>
      <w:r w:rsidRPr="00A3040D">
        <w:rPr>
          <w:rFonts w:ascii="Arial" w:hAnsi="Arial" w:cs="Arial"/>
        </w:rPr>
        <w:tab/>
        <w:t>While the new law generally prohibits an employer from seeking information about prior arrests, criminal charges, or convictions as part of an initial employment application, it does not apply in two defined situations: 1) when an employer is obligated pursuant to federal or state law to ask about such criminal history for the position in question; and 2) when a position requires a security, fidelity, or equivalent bond.  An employer falling within one of these exceptions, and thus, permitted to inquire about criminal history on its employment application, must include certain notices along with the criminal history inquiries.  These notices must be clear and conspicuous and provide:</w:t>
      </w:r>
    </w:p>
    <w:p w:rsidR="00A3040D" w:rsidRPr="00A3040D" w:rsidRDefault="00A3040D" w:rsidP="00A3040D">
      <w:pPr>
        <w:pStyle w:val="ListParagraph"/>
        <w:numPr>
          <w:ilvl w:val="0"/>
          <w:numId w:val="5"/>
        </w:numPr>
        <w:rPr>
          <w:rFonts w:ascii="Arial" w:hAnsi="Arial" w:cs="Arial"/>
          <w:sz w:val="24"/>
          <w:szCs w:val="24"/>
        </w:rPr>
      </w:pPr>
      <w:r w:rsidRPr="00A3040D">
        <w:rPr>
          <w:rFonts w:ascii="Arial" w:hAnsi="Arial" w:cs="Arial"/>
          <w:i/>
          <w:sz w:val="24"/>
          <w:szCs w:val="24"/>
        </w:rPr>
        <w:t>The applicant is not required to disclose the existence of any arrest, criminal charge, or conviction the records of which have been erased pursuant to sections 46b-146, 54-76o, or 54-142a of the Connecticut General Statutes;</w:t>
      </w:r>
    </w:p>
    <w:p w:rsidR="00A3040D" w:rsidRPr="00A3040D" w:rsidRDefault="00A3040D" w:rsidP="00A3040D">
      <w:pPr>
        <w:pStyle w:val="ListParagraph"/>
        <w:numPr>
          <w:ilvl w:val="0"/>
          <w:numId w:val="5"/>
        </w:numPr>
        <w:rPr>
          <w:rFonts w:ascii="Arial" w:hAnsi="Arial" w:cs="Arial"/>
          <w:sz w:val="24"/>
          <w:szCs w:val="24"/>
        </w:rPr>
      </w:pPr>
      <w:r w:rsidRPr="00A3040D">
        <w:rPr>
          <w:rFonts w:ascii="Arial" w:hAnsi="Arial" w:cs="Arial"/>
          <w:i/>
          <w:sz w:val="24"/>
          <w:szCs w:val="24"/>
        </w:rPr>
        <w:t>Criminal records subject to erasure under state law are those records pertaining to a finding of delinquency or that a child was a member of a family with service needs, an adjudication as a youthful offender, a criminal charge that has been dismissed or dropped, a criminal charge for which the person has been found not guilty, or a conviction for which the person received an absolute pardon; and</w:t>
      </w:r>
    </w:p>
    <w:p w:rsidR="00A3040D" w:rsidRPr="00A3040D" w:rsidRDefault="00A3040D" w:rsidP="00A3040D">
      <w:pPr>
        <w:pStyle w:val="ListParagraph"/>
        <w:numPr>
          <w:ilvl w:val="0"/>
          <w:numId w:val="5"/>
        </w:numPr>
        <w:rPr>
          <w:rFonts w:ascii="Arial" w:hAnsi="Arial" w:cs="Arial"/>
          <w:sz w:val="24"/>
          <w:szCs w:val="24"/>
        </w:rPr>
      </w:pPr>
      <w:r w:rsidRPr="00A3040D">
        <w:rPr>
          <w:rFonts w:ascii="Arial" w:hAnsi="Arial" w:cs="Arial"/>
          <w:i/>
          <w:sz w:val="24"/>
          <w:szCs w:val="24"/>
        </w:rPr>
        <w:t>Any person whose criminal records have been erased shall be deemed to have never been arrested and may so swear under oath.</w:t>
      </w:r>
    </w:p>
    <w:p w:rsidR="00A3040D" w:rsidRPr="00A3040D" w:rsidRDefault="00A3040D" w:rsidP="00A3040D">
      <w:pPr>
        <w:ind w:firstLine="360"/>
        <w:rPr>
          <w:rFonts w:ascii="Arial" w:hAnsi="Arial" w:cs="Arial"/>
        </w:rPr>
      </w:pPr>
      <w:r w:rsidRPr="00A3040D">
        <w:rPr>
          <w:rFonts w:ascii="Arial" w:hAnsi="Arial" w:cs="Arial"/>
        </w:rPr>
        <w:t xml:space="preserve">Notably, Connecticut’s statute does not prohibit inquiries regarding criminal history at any point </w:t>
      </w:r>
      <w:r w:rsidRPr="00A3040D">
        <w:rPr>
          <w:rFonts w:ascii="Arial" w:hAnsi="Arial" w:cs="Arial"/>
          <w:i/>
        </w:rPr>
        <w:t xml:space="preserve">after </w:t>
      </w:r>
      <w:r w:rsidRPr="00A3040D">
        <w:rPr>
          <w:rFonts w:ascii="Arial" w:hAnsi="Arial" w:cs="Arial"/>
        </w:rPr>
        <w:t>the initial employment application, so long as such inquiry is not made during the initial application process.  Additionally, Connecticut’s law does not prohibit other types of inquiries into criminal history at the job application stage, such as a criminal background check conducted by a consumer reporting agency.  Connecticut’s “ban-the-box” law does not replace or limit existing prohibitions the State has imposed on employers regarding the use of criminal history events.</w:t>
      </w:r>
    </w:p>
    <w:p w:rsidR="00A3040D" w:rsidRPr="00A3040D" w:rsidRDefault="00A3040D" w:rsidP="00A3040D">
      <w:pPr>
        <w:ind w:firstLine="360"/>
        <w:rPr>
          <w:rFonts w:ascii="Arial" w:hAnsi="Arial" w:cs="Arial"/>
        </w:rPr>
      </w:pPr>
      <w:r w:rsidRPr="00A3040D">
        <w:rPr>
          <w:rFonts w:ascii="Arial" w:hAnsi="Arial" w:cs="Arial"/>
        </w:rPr>
        <w:t>To ensure compliance with the law, at a minimum, employers should evaluate whether they need to revise their existing employment application in order to eliminate impermissible inquiries regarding criminal records.</w:t>
      </w:r>
    </w:p>
    <w:p w:rsidR="00A3040D" w:rsidRPr="00A3040D" w:rsidRDefault="00A3040D" w:rsidP="00A3040D">
      <w:pPr>
        <w:ind w:firstLine="360"/>
        <w:rPr>
          <w:rFonts w:ascii="Arial" w:hAnsi="Arial" w:cs="Arial"/>
        </w:rPr>
      </w:pPr>
      <w:r w:rsidRPr="00A3040D">
        <w:rPr>
          <w:rFonts w:ascii="Arial" w:hAnsi="Arial" w:cs="Arial"/>
        </w:rPr>
        <w:t>As to enforcement, the statute does not provide an aggrieved individual with a private right of action against a covered employer.  Instead, the individual may file a complaint with the Labor Commissioner.  However, the statute also does not authorize the Labor Commissioner to impose penalties and does not provide for civil damages.</w:t>
      </w:r>
    </w:p>
    <w:p w:rsidR="00A3040D" w:rsidRPr="00A3040D" w:rsidRDefault="00A3040D" w:rsidP="00A3040D">
      <w:pPr>
        <w:rPr>
          <w:rFonts w:ascii="Arial" w:hAnsi="Arial" w:cs="Arial"/>
        </w:rPr>
      </w:pPr>
    </w:p>
    <w:p w:rsidR="00A3040D" w:rsidRPr="00A3040D" w:rsidRDefault="00A3040D" w:rsidP="00A3040D">
      <w:pPr>
        <w:rPr>
          <w:rFonts w:ascii="Arial" w:hAnsi="Arial" w:cs="Arial"/>
          <w:b/>
        </w:rPr>
      </w:pPr>
      <w:r w:rsidRPr="00A3040D">
        <w:rPr>
          <w:rFonts w:ascii="Arial" w:hAnsi="Arial" w:cs="Arial"/>
          <w:b/>
        </w:rPr>
        <w:t>Employment Issues Regarding Transgendered Employees</w:t>
      </w:r>
    </w:p>
    <w:p w:rsidR="00A3040D" w:rsidRDefault="00A3040D" w:rsidP="00A3040D">
      <w:pPr>
        <w:rPr>
          <w:rFonts w:ascii="Arial" w:hAnsi="Arial" w:cs="Arial"/>
        </w:rPr>
      </w:pPr>
      <w:r w:rsidRPr="00A3040D">
        <w:rPr>
          <w:rFonts w:ascii="Arial" w:hAnsi="Arial" w:cs="Arial"/>
        </w:rPr>
        <w:tab/>
        <w:t>Several U.S. agencies have issued comments on the hot button topic of transgender rights, particularly related to bathroom access.  While their comments may not be directly applicable to municipalities, gender identity is explicitly protected under Connecticut law, and they provide guidance on how to approach the issue.  Furthermore, the EEOC is aggressively pursuing transgender issues and seeks to expand the protections that have been granted to federal employees by the Obama administration to all employers.</w:t>
      </w:r>
    </w:p>
    <w:p w:rsidR="00A3040D" w:rsidRPr="00A3040D" w:rsidRDefault="00A3040D" w:rsidP="00A3040D">
      <w:pPr>
        <w:rPr>
          <w:rFonts w:ascii="Arial" w:hAnsi="Arial" w:cs="Arial"/>
        </w:rPr>
      </w:pPr>
    </w:p>
    <w:p w:rsidR="00A3040D" w:rsidRPr="00A3040D" w:rsidRDefault="00A3040D" w:rsidP="00A3040D">
      <w:pPr>
        <w:rPr>
          <w:rFonts w:ascii="Arial" w:hAnsi="Arial" w:cs="Arial"/>
          <w:u w:val="single"/>
        </w:rPr>
      </w:pPr>
      <w:r w:rsidRPr="00A3040D">
        <w:rPr>
          <w:rFonts w:ascii="Arial" w:hAnsi="Arial" w:cs="Arial"/>
          <w:u w:val="single"/>
        </w:rPr>
        <w:t>U.S. Office of Personnel Management Guidance Regarding Employment of Transgender Individuals in the Federal Workplace</w:t>
      </w:r>
    </w:p>
    <w:p w:rsidR="00A3040D" w:rsidRPr="00A3040D" w:rsidRDefault="00A3040D" w:rsidP="00A3040D">
      <w:pPr>
        <w:rPr>
          <w:rFonts w:ascii="Arial" w:hAnsi="Arial" w:cs="Arial"/>
        </w:rPr>
      </w:pPr>
      <w:r w:rsidRPr="00A3040D">
        <w:rPr>
          <w:rFonts w:ascii="Arial" w:hAnsi="Arial" w:cs="Arial"/>
        </w:rPr>
        <w:tab/>
        <w:t xml:space="preserve">The U.S. Office of Personnel Management encourages agencies to evaluate and consider eliminating gender-specific dress and appearance rules.  However, once an employee has informed management that he or she is transitioning, agency dress codes should be applied to employees transitioning to a different gender in the same way that they are applied to other employees of that gender.  Managers, supervisors, and coworkers should use the name, and pronouns appropriate to the gender the employee is now presenting at work when referring to and speaking to the employee.  Likewise, the correct name and pronouns should be indicated in company records and communications.  Where specific assignment or duties are differentiated by gender in the work place, the employee should be treated as that gender for purposes of all job assignments and duties, without being required to provide proof of any particular medical procedure in order to be eligible for gender-specific assignments or duties.  </w:t>
      </w:r>
    </w:p>
    <w:p w:rsidR="00A3040D" w:rsidRPr="00A3040D" w:rsidRDefault="00A3040D" w:rsidP="00A3040D">
      <w:pPr>
        <w:rPr>
          <w:rFonts w:ascii="Arial" w:hAnsi="Arial" w:cs="Arial"/>
        </w:rPr>
      </w:pPr>
      <w:r w:rsidRPr="00A3040D">
        <w:rPr>
          <w:rFonts w:ascii="Arial" w:hAnsi="Arial" w:cs="Arial"/>
        </w:rPr>
        <w:tab/>
        <w:t xml:space="preserve">Employees receiving treatment as part of their transition may use sick leave under applicable regulations.   Employees who are qualified under the FMLA may also be entitled to take medical leave for transition-related needs of their families.  </w:t>
      </w:r>
    </w:p>
    <w:p w:rsidR="00A3040D" w:rsidRDefault="00A3040D" w:rsidP="00A3040D">
      <w:pPr>
        <w:rPr>
          <w:rFonts w:ascii="Arial" w:hAnsi="Arial" w:cs="Arial"/>
        </w:rPr>
      </w:pPr>
      <w:r w:rsidRPr="00A3040D">
        <w:rPr>
          <w:rFonts w:ascii="Arial" w:hAnsi="Arial" w:cs="Arial"/>
        </w:rPr>
        <w:tab/>
        <w:t>Employees in transition who already have Federal insurance benefits must be allowed to continue their participation, and new employees must be allowed to elect participation based on their updated names and gender.  If the employees in transition are validly married at the time of the transition, the transition does not affect the validity of that marriage, and spousal coverage should be extended or continued even though the employee in transition has a new name and gender.</w:t>
      </w:r>
    </w:p>
    <w:p w:rsidR="00A3040D" w:rsidRPr="00A3040D" w:rsidRDefault="00A3040D" w:rsidP="00A3040D">
      <w:pPr>
        <w:rPr>
          <w:rFonts w:ascii="Arial" w:hAnsi="Arial" w:cs="Arial"/>
        </w:rPr>
      </w:pPr>
    </w:p>
    <w:p w:rsidR="00A3040D" w:rsidRPr="00A3040D" w:rsidRDefault="00A3040D" w:rsidP="00A3040D">
      <w:pPr>
        <w:rPr>
          <w:rFonts w:ascii="Arial" w:hAnsi="Arial" w:cs="Arial"/>
          <w:u w:val="single"/>
        </w:rPr>
      </w:pPr>
      <w:r w:rsidRPr="00A3040D">
        <w:rPr>
          <w:rFonts w:ascii="Arial" w:hAnsi="Arial" w:cs="Arial"/>
          <w:u w:val="single"/>
        </w:rPr>
        <w:t>EEOC Guidance on Bathroom Access Rights for Transgender Employees under Title VII of the Civil Rights Act of 1964 (“Title VII”)</w:t>
      </w:r>
    </w:p>
    <w:p w:rsidR="00A3040D" w:rsidRPr="00A3040D" w:rsidRDefault="00A3040D" w:rsidP="00A3040D">
      <w:pPr>
        <w:rPr>
          <w:rFonts w:ascii="Arial" w:hAnsi="Arial" w:cs="Arial"/>
        </w:rPr>
      </w:pPr>
      <w:r w:rsidRPr="00A3040D">
        <w:rPr>
          <w:rFonts w:ascii="Arial" w:hAnsi="Arial" w:cs="Arial"/>
        </w:rPr>
        <w:tab/>
        <w:t>Title VII applies to all federal, state, and local government employees in their capacity as employers, as well as all private employers with fifteen or more employees, and prohibits employment discrimination based on race, color, national origin, religion, and sex (including pregnancy, gender identity, and sexual orientation).  The EEOC made it clear that gender-based stereotypes, perceptions, or comfort levels must not interfere with the ability of any employee to work free from discrimination, including harassment.</w:t>
      </w:r>
    </w:p>
    <w:p w:rsidR="00A3040D" w:rsidRPr="00A3040D" w:rsidRDefault="00A3040D" w:rsidP="00A3040D">
      <w:pPr>
        <w:rPr>
          <w:rFonts w:ascii="Arial" w:hAnsi="Arial" w:cs="Arial"/>
        </w:rPr>
      </w:pPr>
      <w:r w:rsidRPr="00A3040D">
        <w:rPr>
          <w:rFonts w:ascii="Arial" w:hAnsi="Arial" w:cs="Arial"/>
        </w:rPr>
        <w:t xml:space="preserve">In the case, </w:t>
      </w:r>
      <w:r w:rsidRPr="00A3040D">
        <w:rPr>
          <w:rFonts w:ascii="Arial" w:hAnsi="Arial" w:cs="Arial"/>
          <w:i/>
        </w:rPr>
        <w:t>Lusardi v. Dep’t of the Army</w:t>
      </w:r>
      <w:r w:rsidRPr="00A3040D">
        <w:rPr>
          <w:rFonts w:ascii="Arial" w:hAnsi="Arial" w:cs="Arial"/>
        </w:rPr>
        <w:t xml:space="preserve">, the EEOC held that denying an employee equal access to a common restroom corresponding to the employee’s gender identity is sex discrimination; that an employer cannot condition this right on the employee undergoing or providing proof of surgery or any other medical procedure; and that an employer cannot avoid the requirement to provide equal access to a common restroom by restricting a transgender employee to a single-user restroom instead, though it may make a single-user restroom available to all employees who might choose to use it.  </w:t>
      </w:r>
    </w:p>
    <w:p w:rsidR="00A3040D" w:rsidRPr="00A3040D" w:rsidRDefault="00A3040D" w:rsidP="00A3040D">
      <w:pPr>
        <w:rPr>
          <w:rFonts w:ascii="Arial" w:hAnsi="Arial" w:cs="Arial"/>
          <w:u w:val="single"/>
        </w:rPr>
      </w:pPr>
      <w:r w:rsidRPr="00A3040D">
        <w:rPr>
          <w:rFonts w:ascii="Arial" w:hAnsi="Arial" w:cs="Arial"/>
          <w:u w:val="single"/>
        </w:rPr>
        <w:t>OSHA Guide to Restroom Access for Transgender Workers</w:t>
      </w:r>
    </w:p>
    <w:p w:rsidR="00A3040D" w:rsidRPr="00A3040D" w:rsidRDefault="00A3040D" w:rsidP="00A3040D">
      <w:pPr>
        <w:ind w:firstLine="720"/>
        <w:rPr>
          <w:rFonts w:ascii="Arial" w:hAnsi="Arial" w:cs="Arial"/>
        </w:rPr>
      </w:pPr>
      <w:r w:rsidRPr="00A3040D">
        <w:rPr>
          <w:rFonts w:ascii="Arial" w:hAnsi="Arial" w:cs="Arial"/>
        </w:rPr>
        <w:t>The Department of Labor Occupational Safety and Health Administration (“OSHA”) also provided guidance on the issue of transgender bathroom access.  OSHA recognized the core principle that all employees, including transgender employees, should have access to restrooms that correspond to their gender identity.  In explaining why it considers restroom access a health and safety matter, OSHA provided that restricting employees to using only restrooms that are not consistent with their gender identity or segregating them from other workers by requiring them to use gender-neutral or other specific restrooms, singles those employees out and may make them fear for their safety.  Bathroom restrictions can result in employees avoiding using restrooms entirely while at work, which can lead to potentially serious physical injury or illness.  As such, all employees should be permitted use the facilities that correspond with their gender identity.  According to OSHA, the best policies provide additional options that allow employees to choose whether to use single-occupancy gender-neutral facilities or use of multiple-occupant, gender-neutral restroom facilities with lockable single occupant stalls.  OSHA noted that regardless of the physical layout of a worksite, employers need to find solutions that are safe, convenient, and respect transgender employees.</w:t>
      </w:r>
    </w:p>
    <w:p w:rsidR="00A3040D" w:rsidRPr="00A3040D" w:rsidRDefault="00A3040D" w:rsidP="00A3040D">
      <w:pPr>
        <w:pStyle w:val="PlainText"/>
        <w:rPr>
          <w:rFonts w:ascii="Arial" w:hAnsi="Arial" w:cs="Arial"/>
          <w:sz w:val="24"/>
          <w:szCs w:val="24"/>
        </w:rPr>
      </w:pPr>
      <w:r w:rsidRPr="00A3040D">
        <w:rPr>
          <w:rFonts w:ascii="Arial" w:hAnsi="Arial" w:cs="Arial"/>
          <w:sz w:val="24"/>
          <w:szCs w:val="24"/>
        </w:rPr>
        <w:tab/>
        <w:t>For more information on this topic see:</w:t>
      </w:r>
    </w:p>
    <w:p w:rsidR="00A3040D" w:rsidRPr="00A3040D" w:rsidRDefault="004A4504" w:rsidP="00A3040D">
      <w:pPr>
        <w:pStyle w:val="PlainText"/>
        <w:rPr>
          <w:rFonts w:ascii="Arial" w:hAnsi="Arial" w:cs="Arial"/>
          <w:sz w:val="24"/>
          <w:szCs w:val="24"/>
        </w:rPr>
      </w:pPr>
      <w:hyperlink r:id="rId9" w:history="1">
        <w:r w:rsidR="00A3040D" w:rsidRPr="00A3040D">
          <w:rPr>
            <w:rStyle w:val="Hyperlink"/>
            <w:rFonts w:ascii="Arial" w:hAnsi="Arial" w:cs="Arial"/>
            <w:sz w:val="24"/>
            <w:szCs w:val="24"/>
          </w:rPr>
          <w:t>https://www.eeoc.gov/eeoc/publications/fs-bathroom-access-transgender.cfm</w:t>
        </w:r>
      </w:hyperlink>
      <w:r w:rsidR="00A3040D" w:rsidRPr="00A3040D">
        <w:rPr>
          <w:rFonts w:ascii="Arial" w:hAnsi="Arial" w:cs="Arial"/>
          <w:sz w:val="24"/>
          <w:szCs w:val="24"/>
        </w:rPr>
        <w:t xml:space="preserve">; </w:t>
      </w:r>
      <w:hyperlink r:id="rId10" w:history="1">
        <w:r w:rsidR="00A3040D" w:rsidRPr="00A3040D">
          <w:rPr>
            <w:rStyle w:val="Hyperlink"/>
            <w:rFonts w:ascii="Arial" w:hAnsi="Arial" w:cs="Arial"/>
            <w:sz w:val="24"/>
            <w:szCs w:val="24"/>
          </w:rPr>
          <w:t>https://www.osha.gov/Publications/OSHA3795.pdf</w:t>
        </w:r>
      </w:hyperlink>
      <w:r w:rsidR="00A3040D" w:rsidRPr="00A3040D">
        <w:rPr>
          <w:rFonts w:ascii="Arial" w:hAnsi="Arial" w:cs="Arial"/>
          <w:sz w:val="24"/>
          <w:szCs w:val="24"/>
        </w:rPr>
        <w:t xml:space="preserve">; </w:t>
      </w:r>
    </w:p>
    <w:p w:rsidR="00A3040D" w:rsidRPr="00A3040D" w:rsidRDefault="004A4504" w:rsidP="00A3040D">
      <w:pPr>
        <w:pStyle w:val="PlainText"/>
        <w:rPr>
          <w:rFonts w:ascii="Arial" w:hAnsi="Arial" w:cs="Arial"/>
          <w:sz w:val="24"/>
          <w:szCs w:val="24"/>
        </w:rPr>
      </w:pPr>
      <w:hyperlink r:id="rId11" w:history="1">
        <w:r w:rsidR="00A3040D" w:rsidRPr="00A3040D">
          <w:rPr>
            <w:rStyle w:val="Hyperlink"/>
            <w:rFonts w:ascii="Arial" w:hAnsi="Arial" w:cs="Arial"/>
            <w:sz w:val="24"/>
            <w:szCs w:val="24"/>
          </w:rPr>
          <w:t>https://www.opm.gov/policy-data-oversight/diversity-and-inclusion/reference-materials/gender-identity-guidance/</w:t>
        </w:r>
      </w:hyperlink>
    </w:p>
    <w:p w:rsidR="00DA61AC" w:rsidRPr="00A3040D" w:rsidRDefault="00DA61AC" w:rsidP="00F465BF">
      <w:pPr>
        <w:rPr>
          <w:rFonts w:ascii="Arial" w:hAnsi="Arial" w:cs="Arial"/>
        </w:rPr>
      </w:pPr>
    </w:p>
    <w:sectPr w:rsidR="00DA61AC" w:rsidRPr="00A30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6794E"/>
    <w:multiLevelType w:val="hybridMultilevel"/>
    <w:tmpl w:val="CABE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3F0CD3"/>
    <w:multiLevelType w:val="hybridMultilevel"/>
    <w:tmpl w:val="6118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C730FB"/>
    <w:multiLevelType w:val="hybridMultilevel"/>
    <w:tmpl w:val="B3CAD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89548D"/>
    <w:multiLevelType w:val="hybridMultilevel"/>
    <w:tmpl w:val="CC02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17D2B"/>
    <w:multiLevelType w:val="hybridMultilevel"/>
    <w:tmpl w:val="4AE8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5BF"/>
    <w:rsid w:val="00146939"/>
    <w:rsid w:val="002513F4"/>
    <w:rsid w:val="003018CB"/>
    <w:rsid w:val="004A4504"/>
    <w:rsid w:val="00905AE9"/>
    <w:rsid w:val="00A3040D"/>
    <w:rsid w:val="00CC384D"/>
    <w:rsid w:val="00DA61AC"/>
    <w:rsid w:val="00E22B79"/>
    <w:rsid w:val="00F465BF"/>
    <w:rsid w:val="00F978ED"/>
    <w:rsid w:val="00FF4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40031-1303-42C2-9EC6-D3F84C553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5B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939"/>
    <w:rPr>
      <w:rFonts w:ascii="Tahoma" w:hAnsi="Tahoma" w:cs="Tahoma"/>
      <w:sz w:val="16"/>
      <w:szCs w:val="16"/>
    </w:rPr>
  </w:style>
  <w:style w:type="character" w:customStyle="1" w:styleId="BalloonTextChar">
    <w:name w:val="Balloon Text Char"/>
    <w:basedOn w:val="DefaultParagraphFont"/>
    <w:link w:val="BalloonText"/>
    <w:uiPriority w:val="99"/>
    <w:semiHidden/>
    <w:rsid w:val="00146939"/>
    <w:rPr>
      <w:rFonts w:ascii="Tahoma" w:hAnsi="Tahoma" w:cs="Tahoma"/>
      <w:sz w:val="16"/>
      <w:szCs w:val="16"/>
    </w:rPr>
  </w:style>
  <w:style w:type="character" w:styleId="Hyperlink">
    <w:name w:val="Hyperlink"/>
    <w:basedOn w:val="DefaultParagraphFont"/>
    <w:uiPriority w:val="99"/>
    <w:unhideWhenUsed/>
    <w:rsid w:val="00A3040D"/>
    <w:rPr>
      <w:color w:val="0000FF" w:themeColor="hyperlink"/>
      <w:u w:val="single"/>
    </w:rPr>
  </w:style>
  <w:style w:type="paragraph" w:styleId="ListParagraph">
    <w:name w:val="List Paragraph"/>
    <w:basedOn w:val="Normal"/>
    <w:uiPriority w:val="34"/>
    <w:qFormat/>
    <w:rsid w:val="00A3040D"/>
    <w:pPr>
      <w:spacing w:after="160" w:line="259" w:lineRule="auto"/>
      <w:ind w:left="720"/>
      <w:contextualSpacing/>
    </w:pPr>
    <w:rPr>
      <w:rFonts w:asciiTheme="minorHAnsi" w:hAnsiTheme="minorHAnsi" w:cstheme="minorBidi"/>
      <w:sz w:val="22"/>
      <w:szCs w:val="22"/>
    </w:rPr>
  </w:style>
  <w:style w:type="paragraph" w:styleId="PlainText">
    <w:name w:val="Plain Text"/>
    <w:basedOn w:val="Normal"/>
    <w:link w:val="PlainTextChar"/>
    <w:uiPriority w:val="99"/>
    <w:unhideWhenUsed/>
    <w:rsid w:val="00A3040D"/>
    <w:rPr>
      <w:rFonts w:ascii="Calibri" w:hAnsi="Calibri" w:cstheme="minorBidi"/>
      <w:sz w:val="22"/>
      <w:szCs w:val="21"/>
    </w:rPr>
  </w:style>
  <w:style w:type="character" w:customStyle="1" w:styleId="PlainTextChar">
    <w:name w:val="Plain Text Char"/>
    <w:basedOn w:val="DefaultParagraphFont"/>
    <w:link w:val="PlainText"/>
    <w:uiPriority w:val="99"/>
    <w:rsid w:val="00A3040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384755">
      <w:bodyDiv w:val="1"/>
      <w:marLeft w:val="0"/>
      <w:marRight w:val="0"/>
      <w:marTop w:val="0"/>
      <w:marBottom w:val="0"/>
      <w:divBdr>
        <w:top w:val="none" w:sz="0" w:space="0" w:color="auto"/>
        <w:left w:val="none" w:sz="0" w:space="0" w:color="auto"/>
        <w:bottom w:val="none" w:sz="0" w:space="0" w:color="auto"/>
        <w:right w:val="none" w:sz="0" w:space="0" w:color="auto"/>
      </w:divBdr>
    </w:div>
    <w:div w:id="106660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oc.gov/eeoc/publications/ada-leave.cf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monastersky@hl-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gerarde@hl-law.com" TargetMode="External"/><Relationship Id="rId11" Type="http://schemas.openxmlformats.org/officeDocument/2006/relationships/hyperlink" Target="https://www.opm.gov/policy-data-oversight/diversity-and-inclusion/reference-materials/gender-identity-guidance/" TargetMode="External"/><Relationship Id="rId5" Type="http://schemas.openxmlformats.org/officeDocument/2006/relationships/image" Target="media/image1.png"/><Relationship Id="rId10" Type="http://schemas.openxmlformats.org/officeDocument/2006/relationships/hyperlink" Target="https://www.osha.gov/Publications/OSHA3795.pdf" TargetMode="External"/><Relationship Id="rId4" Type="http://schemas.openxmlformats.org/officeDocument/2006/relationships/webSettings" Target="webSettings.xml"/><Relationship Id="rId9" Type="http://schemas.openxmlformats.org/officeDocument/2006/relationships/hyperlink" Target="https://www.eeoc.gov/eeoc/publications/fs-bathroom-access-transgender.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5030</Words>
  <Characters>28674</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 Gerarde</dc:creator>
  <cp:lastModifiedBy>Knockwood.Michelle</cp:lastModifiedBy>
  <cp:revision>2</cp:revision>
  <dcterms:created xsi:type="dcterms:W3CDTF">2016-06-21T20:09:00Z</dcterms:created>
  <dcterms:modified xsi:type="dcterms:W3CDTF">2016-06-21T20:09:00Z</dcterms:modified>
</cp:coreProperties>
</file>